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95C6883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B1AF3">
        <w:rPr>
          <w:rFonts w:ascii="Times New Roman" w:hAnsi="Times New Roman"/>
          <w:sz w:val="28"/>
          <w:szCs w:val="28"/>
          <w:lang w:eastAsia="ru-RU"/>
        </w:rPr>
        <w:t>20.03.2025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B1AF3">
        <w:rPr>
          <w:rFonts w:ascii="Times New Roman" w:hAnsi="Times New Roman"/>
          <w:sz w:val="28"/>
          <w:szCs w:val="28"/>
          <w:lang w:eastAsia="ru-RU"/>
        </w:rPr>
        <w:t>2158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B1AF3" w:rsidRPr="003B1AF3" w14:paraId="138CDF56" w14:textId="77777777" w:rsidTr="003B1AF3">
        <w:trPr>
          <w:trHeight w:val="817"/>
        </w:trPr>
        <w:tc>
          <w:tcPr>
            <w:tcW w:w="5103" w:type="dxa"/>
            <w:hideMark/>
          </w:tcPr>
          <w:p w14:paraId="2EDA9B84" w14:textId="77777777" w:rsidR="003B1AF3" w:rsidRPr="003B1AF3" w:rsidRDefault="003B1AF3" w:rsidP="003B1AF3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3B1AF3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принятии решения о подготовке и реализации бюджетных инвестиций на осуществление капитальных вложений в объект муниципальной собственности муниципального образования Гатчинский муниципальный округ – «Строительство линии электропередачи 0,4 кВт для электроснабжения павильонов ожидания городского пассажирского транспорта вблизи домов № 26 и № 41 по ул. Чехова в г. Гатчина, Ленинградской области»</w:t>
            </w:r>
          </w:p>
        </w:tc>
      </w:tr>
    </w:tbl>
    <w:p w14:paraId="1E60AB8E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7DA21ABC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Бюджетным кодексом Российской Федерации,  руководствуясь решением совета депутатов Гатчинского муниципального округа от 27.11.2024 № 73 «Об утверждении Положения о бюджетном процессе в муниципальном образовании Гатчинский муниципальный округ Ленинградской области», Постановлением администрации Гатчинского муниципального округа от 17.03.2025 №1967 «Об утверждении Порядка принятия решения о подготовке и реализации бюджетных инвестиций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муниципального образования Гатчинский муниципальный округ Ленинградской области», бюджетной росписью главных распорядителей, главных администраторов источников финансирования дефицита бюджета Гатчинского муниципального округа, Уставом муниципального образования Гатчинский муниципальный округ Ленинградской области, </w:t>
      </w:r>
    </w:p>
    <w:p w14:paraId="4EE88852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B1AF3">
        <w:rPr>
          <w:rFonts w:ascii="Times New Roman" w:eastAsia="Arial" w:hAnsi="Times New Roman" w:cs="Times New Roman"/>
          <w:b/>
          <w:bCs/>
          <w:sz w:val="28"/>
          <w:szCs w:val="28"/>
        </w:rPr>
        <w:t>ПОСТАНОВЛЯЕТ:</w:t>
      </w:r>
    </w:p>
    <w:p w14:paraId="49C28C87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1. Принять решение о подготовке и реализации бюджетных инвестиций на осуществление капитальных вложений в объект муниципальной собственности – «Строительство линии электропередачи 0,4 кВт для электроснабжения павильонов ожидания городского пассажирского транспорта вблизи домов № 26 и № 41 по ул. Чехова в г. Гатчина, Ленинградской области» (далее – Объект).</w:t>
      </w:r>
    </w:p>
    <w:p w14:paraId="4795EF9C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 xml:space="preserve">2. Наименование Объекта - «Строительство линии электропередачи 0,4 кВт для электроснабжения павильонов ожидания городского пассажирского </w:t>
      </w:r>
      <w:r w:rsidRPr="003B1AF3">
        <w:rPr>
          <w:rFonts w:ascii="Times New Roman" w:eastAsia="Arial" w:hAnsi="Times New Roman" w:cs="Times New Roman"/>
          <w:sz w:val="28"/>
          <w:szCs w:val="28"/>
        </w:rPr>
        <w:lastRenderedPageBreak/>
        <w:t>транспорта вблизи домов № 26 и № 41 по ул. Чехова в г. Гатчина, Ленинградской области».</w:t>
      </w:r>
    </w:p>
    <w:p w14:paraId="5E1601F8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3. Направление инвестирования – строительство.</w:t>
      </w:r>
    </w:p>
    <w:p w14:paraId="0D56802E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4. Наименование главного распорядителя бюджетных средств – Администрация Гатчинского муниципального округа. Муниципальный заказчик – Администрация Гатчинского муниципального округа.</w:t>
      </w:r>
    </w:p>
    <w:p w14:paraId="4A802C91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5. Наименование собственника Объекта – Администрация Гатчинского муниципального округа.</w:t>
      </w:r>
    </w:p>
    <w:p w14:paraId="323A97EF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6. Потребляемая мощность павильонов ожидания городского пассажирского транспорта – 2 кВт. Потребляемая мощность дополнительных светильников наружного освещения 0,18 кВт.</w:t>
      </w:r>
    </w:p>
    <w:p w14:paraId="0CE37CD3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7. Предполагаемый срок ввода в эксплуатацию Объекта – 2025 год.</w:t>
      </w:r>
    </w:p>
    <w:p w14:paraId="0E386BB2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8. Предполагаемая стоимость Объекта составляет 599 564,71 рублей. Окончательная стоимость объекта может быть скорректирована в соответствии с разработанной проектно-сметной документацией и (или) после получения положительного заключения экспертизы.</w:t>
      </w:r>
    </w:p>
    <w:p w14:paraId="25883241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9. Распределение предполагаемой сметной стоимости объекта по годам (в ценах соответствующих лет реализации инвестиционного проекта):</w:t>
      </w:r>
    </w:p>
    <w:p w14:paraId="74FCAFFE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 xml:space="preserve">2025 год – 599 564,71 </w:t>
      </w:r>
      <w:r w:rsidRPr="003B1AF3">
        <w:rPr>
          <w:rFonts w:ascii="Times New Roman" w:eastAsia="Arial" w:hAnsi="Times New Roman" w:cs="Times New Roman"/>
          <w:color w:val="000000"/>
          <w:sz w:val="28"/>
          <w:szCs w:val="28"/>
        </w:rPr>
        <w:t>рублей</w:t>
      </w:r>
      <w:r w:rsidRPr="003B1AF3">
        <w:rPr>
          <w:rFonts w:ascii="Times New Roman" w:eastAsia="Arial" w:hAnsi="Times New Roman" w:cs="Times New Roman"/>
          <w:sz w:val="28"/>
          <w:szCs w:val="28"/>
        </w:rPr>
        <w:t xml:space="preserve"> (строительство объекта).</w:t>
      </w:r>
    </w:p>
    <w:p w14:paraId="1CF88EF3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10. Общий объем инвестиций, предоставляемых на реализацию инвестиционного проекта, составляет 599 564,71 рублей.</w:t>
      </w:r>
    </w:p>
    <w:p w14:paraId="0690B482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11. Распределение общего объема инвестиций, предоставляемых на реализацию инвестиционного проекта по годам реализации (в ценах соответствующих лет реализации инвестиционного проекта):</w:t>
      </w:r>
    </w:p>
    <w:p w14:paraId="7869837D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 xml:space="preserve">2025 год – 599 564,71 </w:t>
      </w:r>
      <w:r w:rsidRPr="003B1AF3">
        <w:rPr>
          <w:rFonts w:ascii="Times New Roman" w:eastAsia="Arial" w:hAnsi="Times New Roman" w:cs="Times New Roman"/>
          <w:color w:val="000000"/>
          <w:sz w:val="28"/>
          <w:szCs w:val="28"/>
        </w:rPr>
        <w:t>рублей</w:t>
      </w:r>
      <w:r w:rsidRPr="003B1AF3">
        <w:rPr>
          <w:rFonts w:ascii="Times New Roman" w:eastAsia="Arial" w:hAnsi="Times New Roman" w:cs="Times New Roman"/>
          <w:sz w:val="28"/>
          <w:szCs w:val="28"/>
        </w:rPr>
        <w:t xml:space="preserve"> (строительство объекта).</w:t>
      </w:r>
    </w:p>
    <w:p w14:paraId="02E64F52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 xml:space="preserve">12. Утвердить указанные </w:t>
      </w:r>
      <w:hyperlink r:id="rId5" w:anchor="P34" w:history="1">
        <w:r w:rsidRPr="003B1AF3">
          <w:rPr>
            <w:rFonts w:ascii="Times New Roman" w:eastAsia="Arial" w:hAnsi="Times New Roman" w:cs="Times New Roman"/>
            <w:color w:val="000000"/>
            <w:sz w:val="28"/>
            <w:szCs w:val="28"/>
            <w:u w:val="single"/>
          </w:rPr>
          <w:t>параметры</w:t>
        </w:r>
      </w:hyperlink>
      <w:r w:rsidRPr="003B1AF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испол</w:t>
      </w:r>
      <w:r w:rsidRPr="003B1AF3">
        <w:rPr>
          <w:rFonts w:ascii="Times New Roman" w:eastAsia="Arial" w:hAnsi="Times New Roman" w:cs="Times New Roman"/>
          <w:sz w:val="28"/>
          <w:szCs w:val="28"/>
        </w:rPr>
        <w:t>нения решения о реализации бюджетных инвестиций на осуществление капитальных вложений в объект.</w:t>
      </w:r>
    </w:p>
    <w:p w14:paraId="587DA879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13. Настоящее</w:t>
      </w:r>
      <w:r w:rsidRPr="003B1AF3">
        <w:rPr>
          <w:rFonts w:ascii="Times New Roman" w:eastAsia="Arial" w:hAnsi="Times New Roman" w:cs="Arial"/>
          <w:color w:val="000000"/>
          <w:sz w:val="28"/>
          <w:szCs w:val="28"/>
        </w:rPr>
        <w:t xml:space="preserve"> постановление подлежит размещению на официальном сайте Гатчинского муниципального округа в информационно-телекоммуникационной сети «Интернет», вступает в силу даты принятия</w:t>
      </w:r>
    </w:p>
    <w:p w14:paraId="67B4FFD3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 xml:space="preserve">14. Контроль над исполнением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– </w:t>
      </w:r>
      <w:proofErr w:type="spellStart"/>
      <w:r w:rsidRPr="003B1AF3">
        <w:rPr>
          <w:rFonts w:ascii="Times New Roman" w:eastAsia="Arial" w:hAnsi="Times New Roman" w:cs="Times New Roman"/>
          <w:sz w:val="28"/>
          <w:szCs w:val="28"/>
        </w:rPr>
        <w:t>Супренка</w:t>
      </w:r>
      <w:proofErr w:type="spellEnd"/>
      <w:r w:rsidRPr="003B1AF3">
        <w:rPr>
          <w:rFonts w:ascii="Times New Roman" w:eastAsia="Arial" w:hAnsi="Times New Roman" w:cs="Times New Roman"/>
          <w:sz w:val="28"/>
          <w:szCs w:val="28"/>
        </w:rPr>
        <w:t xml:space="preserve"> А. А. </w:t>
      </w:r>
    </w:p>
    <w:p w14:paraId="25C738A4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6D4B023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8761046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 xml:space="preserve">Исполняющий обязанности </w:t>
      </w:r>
    </w:p>
    <w:p w14:paraId="345B13F0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 xml:space="preserve">главы администрации </w:t>
      </w:r>
    </w:p>
    <w:p w14:paraId="2518B51B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округа, </w:t>
      </w:r>
    </w:p>
    <w:p w14:paraId="3FE89B42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 xml:space="preserve">заместитель главы администрации </w:t>
      </w:r>
    </w:p>
    <w:p w14:paraId="599913A2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по финансовой политике</w:t>
      </w:r>
    </w:p>
    <w:p w14:paraId="609313D4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B1AF3">
        <w:rPr>
          <w:rFonts w:ascii="Times New Roman" w:eastAsia="Arial" w:hAnsi="Times New Roman" w:cs="Times New Roman"/>
          <w:sz w:val="28"/>
          <w:szCs w:val="28"/>
        </w:rPr>
        <w:t>и муниципальному контролю                                                             И.В. Носков</w:t>
      </w:r>
    </w:p>
    <w:p w14:paraId="056C8E07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0914623" w14:textId="77777777" w:rsidR="003B1AF3" w:rsidRPr="003B1AF3" w:rsidRDefault="003B1AF3" w:rsidP="003B1AF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03C6AE8" w14:textId="77777777" w:rsidR="003B1AF3" w:rsidRPr="003B1AF3" w:rsidRDefault="003B1AF3" w:rsidP="003B1AF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3B1AF3">
        <w:rPr>
          <w:rFonts w:ascii="Times New Roman" w:eastAsia="Calibri" w:hAnsi="Times New Roman" w:cs="Times New Roman"/>
          <w:bCs/>
          <w:sz w:val="20"/>
          <w:szCs w:val="20"/>
        </w:rPr>
        <w:t>Супренок</w:t>
      </w:r>
      <w:proofErr w:type="spellEnd"/>
      <w:r w:rsidRPr="003B1AF3">
        <w:rPr>
          <w:rFonts w:ascii="Times New Roman" w:eastAsia="Calibri" w:hAnsi="Times New Roman" w:cs="Times New Roman"/>
          <w:bCs/>
          <w:sz w:val="20"/>
          <w:szCs w:val="20"/>
        </w:rPr>
        <w:t xml:space="preserve"> Александр Алексеевич</w:t>
      </w:r>
      <w:bookmarkStart w:id="1" w:name="_Toc452643989"/>
      <w:bookmarkStart w:id="2" w:name="_Toc452653155"/>
      <w:bookmarkStart w:id="3" w:name="_Toc467571991"/>
      <w:bookmarkEnd w:id="1"/>
      <w:bookmarkEnd w:id="2"/>
      <w:bookmarkEnd w:id="3"/>
    </w:p>
    <w:sectPr w:rsidR="003B1AF3" w:rsidRPr="003B1AF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5356A"/>
    <w:rsid w:val="0037430D"/>
    <w:rsid w:val="003B1AF3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3B1A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44;&#1086;&#1082;&#1091;&#1084;&#1077;&#1085;&#1090;&#1099;\Downloads\&#1055;&#1086;&#1089;&#1090;&#1072;&#1085;&#1086;&#1074;&#1083;&#1077;&#1085;&#1080;&#1077;%20&#1086;%20&#1088;&#1077;&#1072;&#1083;&#1080;&#1079;&#1072;&#1094;&#1080;&#1080;%20&#1073;&#1102;&#1076;&#1078;&#1077;&#1090;&#1085;&#1099;&#1093;%20&#1080;&#1085;&#1074;&#1077;&#1089;&#1090;&#1080;&#1094;&#1080;&#1081;%20&#1053;&#1072;&#1085;&#1086;&#1094;&#1077;&#1085;&#1090;&#1088;%20&#1080;&#1085;&#1078;&#1077;&#1085;&#1077;&#1088;&#1085;&#1099;&#1077;%20&#1089;&#1077;&#1090;&#1080;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2025-03-21T08:27:00Z</cp:lastPrinted>
  <dcterms:created xsi:type="dcterms:W3CDTF">2025-03-21T08:29:00Z</dcterms:created>
  <dcterms:modified xsi:type="dcterms:W3CDTF">2025-03-21T08:29:00Z</dcterms:modified>
</cp:coreProperties>
</file>