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523C28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401B9">
        <w:rPr>
          <w:rFonts w:ascii="Times New Roman" w:hAnsi="Times New Roman"/>
          <w:sz w:val="28"/>
          <w:szCs w:val="28"/>
          <w:lang w:eastAsia="ru-RU"/>
        </w:rPr>
        <w:t>14.03.2025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401B9">
        <w:rPr>
          <w:rFonts w:ascii="Times New Roman" w:hAnsi="Times New Roman"/>
          <w:sz w:val="28"/>
          <w:szCs w:val="28"/>
          <w:lang w:eastAsia="ru-RU"/>
        </w:rPr>
        <w:t>1951</w:t>
      </w:r>
    </w:p>
    <w:p w14:paraId="6C8EEB54" w14:textId="3B647723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3401B9" w:rsidRPr="003401B9" w14:paraId="707717D0" w14:textId="77777777" w:rsidTr="003401B9">
        <w:tc>
          <w:tcPr>
            <w:tcW w:w="8080" w:type="dxa"/>
          </w:tcPr>
          <w:p w14:paraId="3D396645" w14:textId="77777777" w:rsidR="003401B9" w:rsidRPr="003401B9" w:rsidRDefault="003401B9" w:rsidP="003401B9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 проведении отбора получателей субсидий из бюджета Гатчинского муниципального округа-социально ориентированных некоммерческих организаций, не являющихся государственными (муниципальными) учреждениями,</w:t>
            </w:r>
            <w:r w:rsidRPr="003401B9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Pr="003401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 реализацию социальных проектов на территории Гатчинского муниципального округа в 2025 году</w:t>
            </w:r>
          </w:p>
          <w:p w14:paraId="5E15414D" w14:textId="77777777" w:rsidR="003401B9" w:rsidRPr="003401B9" w:rsidRDefault="003401B9" w:rsidP="003401B9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D97589" w14:textId="77777777" w:rsidR="003401B9" w:rsidRPr="003401B9" w:rsidRDefault="003401B9" w:rsidP="00340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района от 28.12.2024 № 6658 «Об утверждении муниципальной программы «Устойчивое общественное развитие в Гатчинском муниципальном округе», постановлением администрации Гатчинского муниципального округа от 24.02.2025 № 1174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округа»,</w:t>
      </w:r>
    </w:p>
    <w:p w14:paraId="687EBCB1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9CDC8" w14:textId="37E9AF99" w:rsidR="003401B9" w:rsidRDefault="003401B9" w:rsidP="003401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B02472B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F858AF" w14:textId="77777777" w:rsidR="003401B9" w:rsidRPr="003401B9" w:rsidRDefault="003401B9" w:rsidP="003401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Комитету по местному самоуправлению администрации Гатчинского муниципального округа провести отбор 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округа-социально ориентированных некоммерческих организаций, не являющихся государственными (муниципальными) учреждениями (далее – СО НКО), на реализацию социальных проектов на территории Гатчинского муниципального округа в 2025 году в 2025 году</w:t>
      </w:r>
    </w:p>
    <w:p w14:paraId="136F020D" w14:textId="77777777" w:rsidR="003401B9" w:rsidRPr="003401B9" w:rsidRDefault="003401B9" w:rsidP="003401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Объявить отбор путем размещения на едином портале в сети Интернет по адресу, на официальном сайте Гатчинского муниципального округа в сети </w:t>
      </w:r>
      <w:proofErr w:type="gramStart"/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объявления</w:t>
      </w:r>
      <w:proofErr w:type="gramEnd"/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отбора в соответствии с приложением к настоящему постановлению.</w:t>
      </w:r>
    </w:p>
    <w:p w14:paraId="24AE6359" w14:textId="77777777" w:rsidR="003401B9" w:rsidRPr="003401B9" w:rsidRDefault="003401B9" w:rsidP="003401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газете «Официальный вестник» – приложение к газете «Гатчинская правда» и на официальном сайте Гатчинского муниципального округа в сети Интернет.</w:t>
      </w:r>
    </w:p>
    <w:p w14:paraId="512610C4" w14:textId="77777777" w:rsidR="003401B9" w:rsidRPr="003401B9" w:rsidRDefault="003401B9" w:rsidP="003401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3C5E1B53" w14:textId="77777777" w:rsidR="003401B9" w:rsidRPr="003401B9" w:rsidRDefault="003401B9" w:rsidP="003401B9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B1D1E" w14:textId="77777777" w:rsidR="003401B9" w:rsidRPr="003401B9" w:rsidRDefault="003401B9" w:rsidP="003401B9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8B2D5" w14:textId="77777777" w:rsidR="003401B9" w:rsidRPr="003401B9" w:rsidRDefault="003401B9" w:rsidP="003401B9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1724B" w14:textId="77777777" w:rsidR="003401B9" w:rsidRPr="003401B9" w:rsidRDefault="003401B9" w:rsidP="003401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Исполняющий обязанности главы</w:t>
      </w:r>
    </w:p>
    <w:p w14:paraId="3EEA6F2D" w14:textId="77777777" w:rsidR="003401B9" w:rsidRPr="003401B9" w:rsidRDefault="003401B9" w:rsidP="003401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администрации Гатчинского</w:t>
      </w:r>
    </w:p>
    <w:p w14:paraId="42B7F993" w14:textId="77777777" w:rsidR="003401B9" w:rsidRPr="003401B9" w:rsidRDefault="003401B9" w:rsidP="003401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муниципального округа,</w:t>
      </w:r>
    </w:p>
    <w:p w14:paraId="26EE4948" w14:textId="77777777" w:rsidR="003401B9" w:rsidRPr="003401B9" w:rsidRDefault="003401B9" w:rsidP="003401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заместитель главы администрации</w:t>
      </w:r>
    </w:p>
    <w:p w14:paraId="1E7E1092" w14:textId="77777777" w:rsidR="003401B9" w:rsidRPr="003401B9" w:rsidRDefault="003401B9" w:rsidP="003401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финансовой политике и</w:t>
      </w:r>
    </w:p>
    <w:p w14:paraId="654E7A78" w14:textId="77777777" w:rsidR="003401B9" w:rsidRPr="003401B9" w:rsidRDefault="003401B9" w:rsidP="003401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муниципальному контролю                                                              И.В. Носков</w:t>
      </w:r>
    </w:p>
    <w:p w14:paraId="0EBD27BC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A1E7B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01D96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BF995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286CB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A0665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47EB8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E2EDE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8B2D9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1EB27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6F31D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95F01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E5713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F1FBB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15319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DE430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7D3E3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88C1F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4673D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9712C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74893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813F5" w14:textId="77777777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  <w:r w:rsidRPr="003401B9">
        <w:rPr>
          <w:rFonts w:ascii="Times New Roman" w:eastAsia="Times New Roman" w:hAnsi="Times New Roman" w:cs="Times New Roman"/>
          <w:lang w:eastAsia="ru-RU"/>
        </w:rPr>
        <w:t>И.В. Павлов</w:t>
      </w:r>
    </w:p>
    <w:p w14:paraId="7BB2B0B5" w14:textId="77777777" w:rsidR="003401B9" w:rsidRDefault="003401B9" w:rsidP="003401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6CF1071" w14:textId="77777777" w:rsidR="003401B9" w:rsidRDefault="003401B9" w:rsidP="003401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A223CD5" w14:textId="77777777" w:rsidR="003401B9" w:rsidRDefault="003401B9" w:rsidP="003401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0A9AD28" w14:textId="77777777" w:rsidR="003401B9" w:rsidRDefault="003401B9" w:rsidP="003401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EC0C3F5" w14:textId="77777777" w:rsidR="003401B9" w:rsidRDefault="003401B9" w:rsidP="003401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04DB10A" w14:textId="77777777" w:rsidR="003401B9" w:rsidRDefault="003401B9" w:rsidP="003401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D8C6711" w14:textId="77777777" w:rsidR="003401B9" w:rsidRDefault="003401B9" w:rsidP="003401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7E27A2B" w14:textId="5900C4D8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401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к постановлению администрации Гатчинского муниципального округа Ленинградской области </w:t>
      </w:r>
    </w:p>
    <w:p w14:paraId="36758722" w14:textId="235A3A53" w:rsidR="003401B9" w:rsidRPr="003401B9" w:rsidRDefault="003401B9" w:rsidP="003401B9">
      <w:pPr>
        <w:autoSpaceDE w:val="0"/>
        <w:autoSpaceDN w:val="0"/>
        <w:adjustRightInd w:val="0"/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401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14.03.2025</w:t>
      </w:r>
      <w:r w:rsidRPr="003401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1951</w:t>
      </w:r>
    </w:p>
    <w:p w14:paraId="55CDF014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5880091A" w14:textId="77777777" w:rsidR="003401B9" w:rsidRPr="003401B9" w:rsidRDefault="003401B9" w:rsidP="00340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1B9">
        <w:rPr>
          <w:rFonts w:ascii="Calibri" w:eastAsia="Calibri" w:hAnsi="Calibri" w:cs="Times New Roman"/>
          <w:b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Объявление о проведении отбора 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округа-СО НКО на реализацию социальных проектов на территории Гатчинского муниципального округа в 2025 году</w:t>
      </w:r>
    </w:p>
    <w:p w14:paraId="42EA227B" w14:textId="77777777" w:rsidR="003401B9" w:rsidRPr="003401B9" w:rsidRDefault="003401B9" w:rsidP="003401B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2B39A213" w14:textId="77777777" w:rsidR="003401B9" w:rsidRPr="003401B9" w:rsidRDefault="003401B9" w:rsidP="003401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соответствии с Порядком 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утверждённым постановлением администрации Гатчинского муниципального округа от 24.02.2025 № 1174 (далее – Порядок) администрация Гатчинского муниципального округа объявляет отбор 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округа-СО НКО на реализацию социальных проектов на территории Гатчинского муниципального округа в 2025 году (далее – отбор, субсидия, проект).</w:t>
      </w:r>
    </w:p>
    <w:p w14:paraId="5D0B8120" w14:textId="77777777" w:rsidR="003401B9" w:rsidRPr="003401B9" w:rsidRDefault="003401B9" w:rsidP="003401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Отбор</w:t>
      </w:r>
      <w:r w:rsidRPr="003401B9">
        <w:rPr>
          <w:rFonts w:ascii="Times New Roman" w:eastAsia="Calibri" w:hAnsi="Times New Roman" w:cs="Times New Roman"/>
          <w:spacing w:val="56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проводит</w:t>
      </w:r>
      <w:r w:rsidRPr="003401B9">
        <w:rPr>
          <w:rFonts w:ascii="Times New Roman" w:eastAsia="Calibri" w:hAnsi="Times New Roman" w:cs="Times New Roman"/>
          <w:spacing w:val="56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комитет по местному самоуправлению администрации Гатчинского муниципального округа (далее – Комитет) (место нахождения и почтовый адрес: 188300, Ленинградская область, г. Гатчина, ул. Карла Маркса, </w:t>
      </w:r>
      <w:proofErr w:type="spellStart"/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зд</w:t>
      </w:r>
      <w:proofErr w:type="spellEnd"/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44, адрес электронной почты: </w:t>
      </w:r>
      <w:hyperlink r:id="rId5" w:history="1">
        <w:r w:rsidRPr="003401B9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14:ligatures w14:val="standardContextual"/>
          </w:rPr>
          <w:t>msu@gmolo.ru</w:t>
        </w:r>
      </w:hyperlink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).</w:t>
      </w:r>
    </w:p>
    <w:p w14:paraId="1D659ABE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Целью предоставления субсидии является поддержка реализации СО НКО, осуществляющими деятельность на территории Гатчинского муниципального округа, социальных проектов по следующим направлениям:</w:t>
      </w:r>
    </w:p>
    <w:p w14:paraId="5DEE3700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1. милосердие, справедливость (проекты в сфере социального обслуживания, социальной поддержки и защиты граждан);</w:t>
      </w:r>
    </w:p>
    <w:p w14:paraId="16C0DBE3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2. жизнь, права и свободы человека (проекты в сфере охраны жизни и здоровья граждан, популяризации здорового образа жизни, защиты прав граждан);</w:t>
      </w:r>
    </w:p>
    <w:p w14:paraId="7FC0419E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3. крепкая семья (проекты в сфере семьи, материнства, отцовства и детства, укрепления традиционных семейных ценностей);</w:t>
      </w:r>
    </w:p>
    <w:p w14:paraId="0DA24668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4. культура (проекты в области культуры, искусства, дополнительного образования);</w:t>
      </w:r>
    </w:p>
    <w:p w14:paraId="2573CEF0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5. охрана окружающей среды, в том числе формирование экологической культуры, и защита животных;</w:t>
      </w:r>
    </w:p>
    <w:p w14:paraId="66D687C8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6. гуманизм, взаимопомощь и взаимоуважение (проекты в сфере профилактики социально опасных форм поведения и зависимостей, в том числе алкоголизма, наркомании, курения, безнадзорности и правонарушений несовершеннолетних, формирования нетерпимости к коррупционному поведению);</w:t>
      </w:r>
    </w:p>
    <w:p w14:paraId="4F23DF25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7. преемственность поколений (развитие добровольчества (</w:t>
      </w:r>
      <w:proofErr w:type="spellStart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волонтерства</w:t>
      </w:r>
      <w:proofErr w:type="spellEnd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), проекты, направленные на развитие детского и молодежного общественного движения, поддержка детских, молодежных общественных объединений и </w:t>
      </w: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общественных объединений, работающих с детьми и молодежью);</w:t>
      </w:r>
    </w:p>
    <w:p w14:paraId="2E345FF7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8. развитие туристического потенциала Гатчинского муниципального округа и краеведение;</w:t>
      </w:r>
    </w:p>
    <w:p w14:paraId="2A52522F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9. гражданственность, патриотизм, историческая память;</w:t>
      </w:r>
    </w:p>
    <w:p w14:paraId="3327AB8B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10. единство народов России (проекты, направленные на гармонизацию межнациональных отношений, на поддержку малочисленных коренных народов Ленинградской области, сохранение и защита самобытности, культуры, языков и традиций народов Российской Федерации, проживающих на территории Гатчинского муниципального округа, проекты, содействующие духовному развитию личности и популяризации духовной культуры Гатчинского муниципального округа, укреплению межконфессионального согласия);</w:t>
      </w:r>
    </w:p>
    <w:p w14:paraId="13ECBE81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11. созидательный труд и развитие местных сообществ (проекты в сфере повышения финансовой грамотности, проекты в сфере развития местных инициатив, развитие институтов гражданского общества);</w:t>
      </w:r>
    </w:p>
    <w:p w14:paraId="7C550784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12. служение Отечеству и ответственность за его судьбу (проекты, направленные на поддержку участников специальной военной операции и членов их семей).</w:t>
      </w:r>
    </w:p>
    <w:p w14:paraId="650E5D0B" w14:textId="77777777" w:rsidR="003401B9" w:rsidRPr="003401B9" w:rsidRDefault="003401B9" w:rsidP="003401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Проекты, представляемые СО НКО для получения субсидии должны реализовываться на территории Гатчинского муниципального округа и(или) в проект должны быть привлечены </w:t>
      </w:r>
      <w:proofErr w:type="spellStart"/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благополучатели</w:t>
      </w:r>
      <w:proofErr w:type="spellEnd"/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из Гатчинского муниципального округа.  </w:t>
      </w:r>
    </w:p>
    <w:p w14:paraId="73146634" w14:textId="77777777" w:rsidR="003401B9" w:rsidRPr="003401B9" w:rsidRDefault="003401B9" w:rsidP="003401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Срок реализации проекта –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до 30 декабря 2025 года.</w:t>
      </w:r>
    </w:p>
    <w:p w14:paraId="70A1D8B7" w14:textId="77777777" w:rsidR="003401B9" w:rsidRPr="003401B9" w:rsidRDefault="003401B9" w:rsidP="003401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Срок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приема</w:t>
      </w:r>
      <w:r w:rsidRPr="003401B9">
        <w:rPr>
          <w:rFonts w:ascii="Times New Roman" w:eastAsia="Calibri" w:hAnsi="Times New Roman" w:cs="Times New Roman"/>
          <w:spacing w:val="8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заявок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участие</w:t>
      </w:r>
      <w:r w:rsidRPr="003401B9">
        <w:rPr>
          <w:rFonts w:ascii="Times New Roman" w:eastAsia="Calibri" w:hAnsi="Times New Roman" w:cs="Times New Roman"/>
          <w:spacing w:val="8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отборе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(далее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3401B9">
        <w:rPr>
          <w:rFonts w:ascii="Times New Roman" w:eastAsia="Calibri" w:hAnsi="Times New Roman" w:cs="Times New Roman"/>
          <w:spacing w:val="-2"/>
          <w:kern w:val="2"/>
          <w:sz w:val="28"/>
          <w:szCs w:val="28"/>
          <w14:ligatures w14:val="standardContextual"/>
        </w:rPr>
        <w:t xml:space="preserve">заявка)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Pr="003401B9">
        <w:rPr>
          <w:rFonts w:ascii="Times New Roman" w:eastAsia="Calibri" w:hAnsi="Times New Roman" w:cs="Times New Roman"/>
          <w:spacing w:val="32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период с 9</w:t>
      </w:r>
      <w:r w:rsidRPr="003401B9">
        <w:rPr>
          <w:rFonts w:ascii="Times New Roman" w:eastAsia="Calibri" w:hAnsi="Times New Roman" w:cs="Times New Roman"/>
          <w:spacing w:val="3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час. 00 мин.</w:t>
      </w:r>
      <w:r w:rsidRPr="003401B9">
        <w:rPr>
          <w:rFonts w:ascii="Times New Roman" w:eastAsia="Calibri" w:hAnsi="Times New Roman" w:cs="Times New Roman"/>
          <w:spacing w:val="-1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19 марта 2025 года до 17</w:t>
      </w:r>
      <w:r w:rsidRPr="003401B9">
        <w:rPr>
          <w:rFonts w:ascii="Times New Roman" w:eastAsia="Calibri" w:hAnsi="Times New Roman" w:cs="Times New Roman"/>
          <w:spacing w:val="3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час. 00</w:t>
      </w:r>
      <w:r w:rsidRPr="003401B9">
        <w:rPr>
          <w:rFonts w:ascii="Times New Roman" w:eastAsia="Calibri" w:hAnsi="Times New Roman" w:cs="Times New Roman"/>
          <w:spacing w:val="19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мин. 20 апреля 2025 года.</w:t>
      </w:r>
    </w:p>
    <w:p w14:paraId="0C03E031" w14:textId="77777777" w:rsidR="003401B9" w:rsidRPr="003401B9" w:rsidRDefault="003401B9" w:rsidP="003401B9">
      <w:pPr>
        <w:widowControl w:val="0"/>
        <w:tabs>
          <w:tab w:val="left" w:pos="15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Срок</w:t>
      </w:r>
      <w:r w:rsidRPr="003401B9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3401B9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отбора</w:t>
      </w:r>
      <w:r w:rsidRPr="003401B9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: </w:t>
      </w:r>
      <w:r w:rsidRPr="003401B9">
        <w:rPr>
          <w:rFonts w:ascii="Times New Roman" w:eastAsia="Calibri" w:hAnsi="Times New Roman" w:cs="Times New Roman"/>
          <w:sz w:val="28"/>
          <w:szCs w:val="28"/>
        </w:rPr>
        <w:t>дата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начала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отбора – 19 апреля 2025</w:t>
      </w:r>
      <w:r w:rsidRPr="003401B9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года, завершения отбора -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не позднее 31 мая 2025 года).</w:t>
      </w:r>
    </w:p>
    <w:p w14:paraId="0BBC6716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Результатом предоставления субсидии является реализация в рамках предоставленной субсидии социальных проектов по направлениям деятельности, указанным в настоящем объявлении, на территории Гатчинского муниципального округа и (или) для </w:t>
      </w:r>
      <w:proofErr w:type="spellStart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благополучателей</w:t>
      </w:r>
      <w:proofErr w:type="spellEnd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из Гатчинского муниципального округа.</w:t>
      </w:r>
    </w:p>
    <w:p w14:paraId="55CB5BB5" w14:textId="77777777" w:rsidR="003401B9" w:rsidRPr="003401B9" w:rsidRDefault="003401B9" w:rsidP="003401B9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3401B9">
        <w:rPr>
          <w:rFonts w:ascii="Times New Roman" w:eastAsia="Times New Roman" w:hAnsi="Times New Roman" w:cs="Times New Roman"/>
          <w:w w:val="105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14:paraId="758A08BD" w14:textId="77777777" w:rsidR="003401B9" w:rsidRPr="003401B9" w:rsidRDefault="003401B9" w:rsidP="003401B9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  <w:t xml:space="preserve">1) количество </w:t>
      </w:r>
      <w:proofErr w:type="spellStart"/>
      <w:r w:rsidRPr="003401B9"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  <w:t>благополучателей</w:t>
      </w:r>
      <w:proofErr w:type="spellEnd"/>
      <w:r w:rsidRPr="003401B9"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  <w:t xml:space="preserve"> проекта;</w:t>
      </w:r>
    </w:p>
    <w:p w14:paraId="4B7E40A2" w14:textId="77777777" w:rsidR="003401B9" w:rsidRPr="003401B9" w:rsidRDefault="003401B9" w:rsidP="003401B9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  <w:t>2) количество мероприятий, проведенных в рамках проекта;</w:t>
      </w:r>
    </w:p>
    <w:p w14:paraId="45825800" w14:textId="77777777" w:rsidR="003401B9" w:rsidRPr="003401B9" w:rsidRDefault="003401B9" w:rsidP="003401B9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3401B9">
        <w:rPr>
          <w:rFonts w:ascii="Times New Roman" w:eastAsia="Times New Roman" w:hAnsi="Times New Roman" w:cs="Times New Roman"/>
          <w:w w:val="105"/>
          <w:sz w:val="28"/>
          <w:szCs w:val="28"/>
        </w:rPr>
        <w:t>3) количество публикаций о проекте в средствах массовой информации и(или) социальных сетях.</w:t>
      </w:r>
    </w:p>
    <w:p w14:paraId="3476C6FA" w14:textId="77777777" w:rsidR="003401B9" w:rsidRPr="003401B9" w:rsidRDefault="003401B9" w:rsidP="003401B9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Отбор проводится на электронной платформе в информационно- телекоммуникационной</w:t>
      </w:r>
      <w:r w:rsidRPr="003401B9">
        <w:rPr>
          <w:rFonts w:ascii="Times New Roman" w:eastAsia="Calibri" w:hAnsi="Times New Roman" w:cs="Times New Roman"/>
          <w:spacing w:val="-16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сети</w:t>
      </w:r>
      <w:r w:rsidRPr="003401B9">
        <w:rPr>
          <w:rFonts w:ascii="Times New Roman" w:eastAsia="Calibri" w:hAnsi="Times New Roman" w:cs="Times New Roman"/>
          <w:spacing w:val="-16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«Интернет»</w:t>
      </w:r>
      <w:r w:rsidRPr="003401B9">
        <w:rPr>
          <w:rFonts w:ascii="Times New Roman" w:eastAsia="Calibri" w:hAnsi="Times New Roman" w:cs="Times New Roman"/>
          <w:spacing w:val="-16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по</w:t>
      </w:r>
      <w:r w:rsidRPr="003401B9">
        <w:rPr>
          <w:rFonts w:ascii="Times New Roman" w:eastAsia="Calibri" w:hAnsi="Times New Roman" w:cs="Times New Roman"/>
          <w:spacing w:val="-15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адресу:</w:t>
      </w:r>
      <w:r w:rsidRPr="003401B9">
        <w:rPr>
          <w:rFonts w:ascii="Times New Roman" w:eastAsia="Calibri" w:hAnsi="Times New Roman" w:cs="Times New Roman"/>
          <w:spacing w:val="-16"/>
          <w:w w:val="105"/>
          <w:sz w:val="28"/>
          <w:szCs w:val="28"/>
        </w:rPr>
        <w:t xml:space="preserve"> </w:t>
      </w:r>
      <w:hyperlink r:id="rId6" w:history="1">
        <w:r w:rsidRPr="003401B9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</w:rPr>
          <w:t>https://</w:t>
        </w:r>
        <w:r w:rsidRPr="003401B9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  <w:lang w:val="en-US"/>
          </w:rPr>
          <w:t>prom</w:t>
        </w:r>
        <w:r w:rsidRPr="003401B9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</w:rPr>
          <w:t>ote.budget.gov.</w:t>
        </w:r>
        <w:r w:rsidRPr="003401B9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  <w:lang w:val="en-US"/>
          </w:rPr>
          <w:t>r</w:t>
        </w:r>
        <w:r w:rsidRPr="003401B9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</w:rPr>
          <w:t>u/</w:t>
        </w:r>
      </w:hyperlink>
      <w:r w:rsidRPr="003401B9">
        <w:rPr>
          <w:rFonts w:ascii="Times New Roman" w:eastAsia="Calibri" w:hAnsi="Times New Roman" w:cs="Times New Roman"/>
          <w:w w:val="105"/>
          <w:sz w:val="28"/>
          <w:szCs w:val="28"/>
          <w:u w:val="single" w:color="030303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.</w:t>
      </w:r>
    </w:p>
    <w:p w14:paraId="4BBC2987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 категории получателей субсидии относятся СО НКО, зарегистрированные в качестве российского юридического лица на территории Ленинградской области в порядке, установленном законодательством Российской Федерации.</w:t>
      </w:r>
    </w:p>
    <w:p w14:paraId="0C920F8A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Критерии отбора:</w:t>
      </w:r>
    </w:p>
    <w:p w14:paraId="5A6ADF66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являются общественным объединением (за исключением политической </w:t>
      </w: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партии), фондом, частным учреждением, автономной некоммерческой организацией, ассоциацией (союзом), казачьим обществом или общиной коренных малочисленных народов Российской Федерации;</w:t>
      </w:r>
    </w:p>
    <w:p w14:paraId="510923B8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осуществляют один из видов деятельности, указанных в </w:t>
      </w:r>
      <w:hyperlink r:id="rId7" w:history="1">
        <w:r w:rsidRPr="003401B9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  <w14:ligatures w14:val="standardContextual"/>
          </w:rPr>
          <w:t>статье 31.1</w:t>
        </w:r>
      </w:hyperlink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Федерального закона от 12 января 1996 года № 7-ФЗ «О некоммерческих организациях» или </w:t>
      </w:r>
      <w:hyperlink r:id="rId8" w:history="1">
        <w:r w:rsidRPr="003401B9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  <w14:ligatures w14:val="standardContextual"/>
          </w:rPr>
          <w:t>статье 6</w:t>
        </w:r>
      </w:hyperlink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областного закона от 29 июня 2012 года № 52-оз «О государственной поддержке социально ориентированных некоммерческих организаций в Ленинградской области»;</w:t>
      </w:r>
    </w:p>
    <w:p w14:paraId="66AC379D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не имеют учредителя, являющегося государственным органом, органом местного самоуправления или публично-правовым образованием.</w:t>
      </w:r>
    </w:p>
    <w:p w14:paraId="77DE5FD8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 участию в отборе допускаются СО НКО, соответствующие категориям получателей субсидии и соответствующие на даты рассмотрения заявок и заключения соглашения следующим требованиям:</w:t>
      </w:r>
    </w:p>
    <w:p w14:paraId="290FCB32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Гатчинским муниципальным округом;</w:t>
      </w:r>
    </w:p>
    <w:p w14:paraId="5DF2FC07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4DBB8198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D677106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467AD9F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организациями и террористами или с распространением оружия массового уничтожения;</w:t>
      </w:r>
    </w:p>
    <w:p w14:paraId="487CA0AD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участник отбора не является иностранным агентом в соответствии с Федеральным </w:t>
      </w:r>
      <w:hyperlink r:id="rId9" w:history="1">
        <w:r w:rsidRPr="003401B9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lang w:eastAsia="ru-RU"/>
            <w14:ligatures w14:val="standardContextual"/>
          </w:rPr>
          <w:t>законом</w:t>
        </w:r>
      </w:hyperlink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«О контроле за деятельностью лиц, находящихся под иностранным влиянием»;</w:t>
      </w:r>
    </w:p>
    <w:p w14:paraId="702CE6AF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отсутствует в реестре недобросовестных поставщиков;</w:t>
      </w:r>
    </w:p>
    <w:p w14:paraId="059ABF9D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не получал средства из местного бюджета на основании настоящего Порядка в течение финансового года, в котором подается заявка, на цели, установленные настоящим Порядком, за исключением случаев проведения отбора на следующий финансовый год;</w:t>
      </w:r>
    </w:p>
    <w:p w14:paraId="1CB59D37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0" w:history="1">
        <w:r w:rsidRPr="003401B9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lang w:eastAsia="ru-RU"/>
            <w14:ligatures w14:val="standardContextual"/>
          </w:rPr>
          <w:t>пунктом 3 статьи 47</w:t>
        </w:r>
      </w:hyperlink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7E5CFCC7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Для участия в отборе СО НКО представляет заявку содержащую следующую информацию:</w:t>
      </w:r>
    </w:p>
    <w:p w14:paraId="505A482A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направление проекта</w:t>
      </w:r>
    </w:p>
    <w:p w14:paraId="328F666C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наименование проекта;</w:t>
      </w:r>
    </w:p>
    <w:p w14:paraId="42591E0B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цель (цели) и задачи проекта;</w:t>
      </w:r>
    </w:p>
    <w:p w14:paraId="6FE2598B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краткое описание проекта;</w:t>
      </w:r>
    </w:p>
    <w:p w14:paraId="5992299F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территория, на которой запланирована реализация проекта;</w:t>
      </w:r>
    </w:p>
    <w:p w14:paraId="5753A9FA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срок реализации проекта;</w:t>
      </w:r>
    </w:p>
    <w:p w14:paraId="3FACC745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обоснование социальной значимости проекта;</w:t>
      </w:r>
    </w:p>
    <w:p w14:paraId="626567AC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proofErr w:type="spellStart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благополучатели</w:t>
      </w:r>
      <w:proofErr w:type="spellEnd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проекта;</w:t>
      </w:r>
    </w:p>
    <w:p w14:paraId="674727DE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ожидаемые результаты проекта, в том числе характеристики и их значения;</w:t>
      </w:r>
    </w:p>
    <w:p w14:paraId="2FD16F8D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общая сумма расходов на реализацию проекта;</w:t>
      </w:r>
    </w:p>
    <w:p w14:paraId="10B15063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запрашиваемый размер субсидии;</w:t>
      </w:r>
    </w:p>
    <w:p w14:paraId="7D65A979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сумма </w:t>
      </w:r>
      <w:proofErr w:type="spellStart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софинансирования</w:t>
      </w:r>
      <w:proofErr w:type="spellEnd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;</w:t>
      </w:r>
    </w:p>
    <w:p w14:paraId="40237A0C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календарный план проекта;</w:t>
      </w:r>
    </w:p>
    <w:p w14:paraId="2C0DF833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бюджет проекта (смета расходов);</w:t>
      </w:r>
    </w:p>
    <w:p w14:paraId="2EF78E33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информация о руководителе проекта;</w:t>
      </w:r>
    </w:p>
    <w:p w14:paraId="6A1713EA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информация о команде проекта, в том числе включающая сведения об образовании и дополнительном образовании (курсы, тренинги);</w:t>
      </w:r>
    </w:p>
    <w:p w14:paraId="1263EC99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информация о СО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почты;</w:t>
      </w:r>
    </w:p>
    <w:p w14:paraId="1E787556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подтверждение соответствия участника отбора категории, критериям отбора и требованиям, установленным Порядком;</w:t>
      </w:r>
    </w:p>
    <w:p w14:paraId="0E3A3039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согласие участника отбора на осуществление в отношении него проверки Администрацией соблюдения порядка и условий предоставления субсидии, в том числе в части достижения результатов предоставления субсидии, проверки органами муниципального финансового контроля Гатчинского муниципального округа соблюдения получателем субсидии условий и порядка предоставления субсидии в соответствии со </w:t>
      </w:r>
      <w:hyperlink r:id="rId11" w:history="1">
        <w:r w:rsidRPr="003401B9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  <w14:ligatures w14:val="standardContextual"/>
          </w:rPr>
          <w:t>статьями 268.1</w:t>
        </w:r>
      </w:hyperlink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и </w:t>
      </w:r>
      <w:hyperlink r:id="rId12" w:history="1">
        <w:r w:rsidRPr="003401B9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  <w14:ligatures w14:val="standardContextual"/>
          </w:rPr>
          <w:t>269.2</w:t>
        </w:r>
      </w:hyperlink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Бюджетного кодекса </w:t>
      </w: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Российской Федерации, а также на включение таких положений в соглашение;</w:t>
      </w:r>
    </w:p>
    <w:p w14:paraId="6958B539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согласие на обработку персональных данных, указанных в заявке;</w:t>
      </w:r>
    </w:p>
    <w:p w14:paraId="0B2D4698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согласие на публикацию (размещение) в сети «Интернет» информации о СО НКО, о подаваемой ею заявке, иной информации о СО НКО, связанной с отбором.</w:t>
      </w:r>
    </w:p>
    <w:p w14:paraId="62F9E47F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 заявке также прилагаются следующие документы:</w:t>
      </w:r>
    </w:p>
    <w:p w14:paraId="27BFCD94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электронная (отсканированная) копия действующей редакции устава участника отбора (со всеми внесенными изменениями) в формате </w:t>
      </w:r>
      <w:proofErr w:type="spellStart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pdf</w:t>
      </w:r>
      <w:proofErr w:type="spellEnd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;</w:t>
      </w:r>
    </w:p>
    <w:p w14:paraId="043E80C2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электронная (отсканированная) копия документа, подтверждающего полномочия лица на подачу заявки от имени участника отбора, в формате </w:t>
      </w:r>
      <w:proofErr w:type="spellStart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pdf</w:t>
      </w:r>
      <w:proofErr w:type="spellEnd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14:paraId="6CDE4BB8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документы, подтверждающие наличие у участника отбора опыта успешной реализации программ, проектов с учетом направления, указанного в заявке, и соответствие опыта и компетенции команды проекта планируемой деятельности, в том числе благодарственные письма, документы о прохождении обучения участника отбора и(или) членов его команды, а также письма поддержки в формате </w:t>
      </w:r>
      <w:proofErr w:type="spellStart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pdf</w:t>
      </w:r>
      <w:proofErr w:type="spellEnd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(при наличии);</w:t>
      </w:r>
    </w:p>
    <w:p w14:paraId="270BC95B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презентация проекта в форматах </w:t>
      </w:r>
      <w:proofErr w:type="spellStart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pdf</w:t>
      </w:r>
      <w:proofErr w:type="spellEnd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или </w:t>
      </w:r>
      <w:proofErr w:type="spellStart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pptx</w:t>
      </w:r>
      <w:proofErr w:type="spellEnd"/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(при наличии);</w:t>
      </w:r>
    </w:p>
    <w:p w14:paraId="0A38771D" w14:textId="77777777" w:rsidR="003401B9" w:rsidRPr="003401B9" w:rsidRDefault="003401B9" w:rsidP="003401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3401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коммерческие предложения потенциальных исполнителей работ (услуг) и(или) информацию с официальных сайтов исполнителей, и(или) нормативы затрат, и(или) статистические данные, и(или) иные документы, подтверждающие обоснованность представленных в бюджете проекта (смете расходов) затрат (при наличии).</w:t>
      </w:r>
    </w:p>
    <w:p w14:paraId="333E38DA" w14:textId="77777777" w:rsidR="003401B9" w:rsidRPr="003401B9" w:rsidRDefault="003401B9" w:rsidP="003401B9">
      <w:pPr>
        <w:widowControl w:val="0"/>
        <w:tabs>
          <w:tab w:val="left" w:pos="94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Заявки предоставляются в форме электронных документов посредством заполнения</w:t>
      </w:r>
      <w:r w:rsidRPr="003401B9">
        <w:rPr>
          <w:rFonts w:ascii="Times New Roman" w:eastAsia="Calibri" w:hAnsi="Times New Roman" w:cs="Times New Roman"/>
          <w:spacing w:val="47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соответствующих</w:t>
      </w:r>
      <w:r w:rsidRPr="003401B9">
        <w:rPr>
          <w:rFonts w:ascii="Times New Roman" w:eastAsia="Calibri" w:hAnsi="Times New Roman" w:cs="Times New Roman"/>
          <w:spacing w:val="37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электронных</w:t>
      </w:r>
      <w:r w:rsidRPr="003401B9">
        <w:rPr>
          <w:rFonts w:ascii="Times New Roman" w:eastAsia="Calibri" w:hAnsi="Times New Roman" w:cs="Times New Roman"/>
          <w:spacing w:val="44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форм,</w:t>
      </w:r>
      <w:r w:rsidRPr="003401B9">
        <w:rPr>
          <w:rFonts w:ascii="Times New Roman" w:eastAsia="Calibri" w:hAnsi="Times New Roman" w:cs="Times New Roman"/>
          <w:spacing w:val="42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размещенных</w:t>
      </w:r>
      <w:r w:rsidRPr="003401B9">
        <w:rPr>
          <w:rFonts w:ascii="Times New Roman" w:eastAsia="Calibri" w:hAnsi="Times New Roman" w:cs="Times New Roman"/>
          <w:spacing w:val="55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w w:val="105"/>
          <w:sz w:val="28"/>
          <w:szCs w:val="28"/>
        </w:rPr>
        <w:t>на</w:t>
      </w:r>
      <w:r w:rsidRPr="003401B9">
        <w:rPr>
          <w:rFonts w:ascii="Times New Roman" w:eastAsia="Calibri" w:hAnsi="Times New Roman" w:cs="Times New Roman"/>
          <w:spacing w:val="39"/>
          <w:w w:val="10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электронной </w:t>
      </w:r>
      <w:r w:rsidRPr="003401B9">
        <w:rPr>
          <w:rFonts w:ascii="Times New Roman" w:eastAsia="Calibri" w:hAnsi="Times New Roman" w:cs="Times New Roman"/>
          <w:sz w:val="28"/>
          <w:szCs w:val="28"/>
        </w:rPr>
        <w:t>платформе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отбора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в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сети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«Интернет» по</w:t>
      </w:r>
      <w:r w:rsidRPr="003401B9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 xml:space="preserve">адресу: </w:t>
      </w:r>
      <w:hyperlink r:id="rId13" w:history="1">
        <w:r w:rsidRPr="003401B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https://pгo</w:t>
        </w:r>
        <w:r w:rsidRPr="003401B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</w:t>
        </w:r>
        <w:proofErr w:type="spellStart"/>
        <w:r w:rsidRPr="003401B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ote.b</w:t>
        </w:r>
        <w:proofErr w:type="spellEnd"/>
        <w:r w:rsidRPr="003401B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</w:t>
        </w:r>
        <w:proofErr w:type="spellStart"/>
        <w:r w:rsidRPr="003401B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dget.gov.гu</w:t>
        </w:r>
        <w:proofErr w:type="spellEnd"/>
        <w:r w:rsidRPr="003401B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</w:hyperlink>
      <w:r w:rsidRPr="003401B9">
        <w:rPr>
          <w:rFonts w:ascii="Times New Roman" w:eastAsia="Calibri" w:hAnsi="Times New Roman" w:cs="Times New Roman"/>
          <w:sz w:val="28"/>
          <w:szCs w:val="28"/>
          <w:u w:val="single" w:color="777777"/>
        </w:rPr>
        <w:t xml:space="preserve"> </w:t>
      </w:r>
      <w:r w:rsidRPr="003401B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(далее</w:t>
      </w:r>
      <w:r w:rsidRPr="003401B9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-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единый портал).</w:t>
      </w:r>
    </w:p>
    <w:p w14:paraId="7517C834" w14:textId="77777777" w:rsidR="003401B9" w:rsidRPr="003401B9" w:rsidRDefault="003401B9" w:rsidP="003401B9">
      <w:pPr>
        <w:widowControl w:val="0"/>
        <w:tabs>
          <w:tab w:val="left" w:pos="94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СО НКО, подавшая заявку, несет ответственность за подлинность документов и достоверность сведений, представленных на отбор, в соответствии с законодательством Российской Федерации.</w:t>
      </w:r>
    </w:p>
    <w:p w14:paraId="2C6857E5" w14:textId="77777777" w:rsidR="003401B9" w:rsidRPr="003401B9" w:rsidRDefault="003401B9" w:rsidP="003401B9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СО НКО вправе представить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не более одной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заявки на отбор. При подаче двух и более заявок вторая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и последующие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заявки не допускаются</w:t>
      </w:r>
      <w:r w:rsidRPr="003401B9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до отбора.</w:t>
      </w:r>
    </w:p>
    <w:p w14:paraId="3A00C056" w14:textId="77777777" w:rsidR="003401B9" w:rsidRPr="003401B9" w:rsidRDefault="003401B9" w:rsidP="003401B9">
      <w:pPr>
        <w:widowControl w:val="0"/>
        <w:tabs>
          <w:tab w:val="left" w:pos="1457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СО НКО вправе отозвать заявку с электронной платформы в течение срока подачи заявок.</w:t>
      </w:r>
    </w:p>
    <w:p w14:paraId="49DF7C68" w14:textId="77777777" w:rsidR="003401B9" w:rsidRPr="003401B9" w:rsidRDefault="003401B9" w:rsidP="00340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Внесение изменений в заявку участником отбора осуществляется путем отзыва и подачи новой заявки. Процедура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возврат заявки на доработку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 предусмотрена.</w:t>
      </w:r>
    </w:p>
    <w:p w14:paraId="1DB48178" w14:textId="77777777" w:rsidR="003401B9" w:rsidRPr="003401B9" w:rsidRDefault="003401B9" w:rsidP="003401B9">
      <w:pPr>
        <w:widowControl w:val="0"/>
        <w:tabs>
          <w:tab w:val="left" w:pos="145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3401B9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рассматривает</w:t>
      </w:r>
      <w:r w:rsidRPr="003401B9">
        <w:rPr>
          <w:rFonts w:ascii="Times New Roman" w:eastAsia="Calibri" w:hAnsi="Times New Roman" w:cs="Times New Roman"/>
          <w:spacing w:val="34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и</w:t>
      </w:r>
      <w:r w:rsidRPr="003401B9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оценивает</w:t>
      </w:r>
      <w:r w:rsidRPr="003401B9">
        <w:rPr>
          <w:rFonts w:ascii="Times New Roman" w:eastAsia="Calibri" w:hAnsi="Times New Roman" w:cs="Times New Roman"/>
          <w:spacing w:val="22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заявки</w:t>
      </w:r>
      <w:r w:rsidRPr="003401B9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в</w:t>
      </w:r>
      <w:r w:rsidRPr="003401B9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3401B9">
        <w:rPr>
          <w:rFonts w:ascii="Times New Roman" w:eastAsia="Calibri" w:hAnsi="Times New Roman" w:cs="Times New Roman"/>
          <w:spacing w:val="31"/>
          <w:sz w:val="28"/>
          <w:szCs w:val="28"/>
        </w:rPr>
        <w:t xml:space="preserve"> пунктами</w:t>
      </w:r>
      <w:r w:rsidRPr="003401B9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2.11- </w:t>
      </w:r>
      <w:r w:rsidRPr="003401B9">
        <w:rPr>
          <w:rFonts w:ascii="Times New Roman" w:eastAsia="Calibri" w:hAnsi="Times New Roman" w:cs="Times New Roman"/>
          <w:sz w:val="28"/>
          <w:szCs w:val="28"/>
        </w:rPr>
        <w:t>2.23</w:t>
      </w:r>
      <w:r w:rsidRPr="003401B9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pacing w:val="-2"/>
          <w:sz w:val="28"/>
          <w:szCs w:val="28"/>
        </w:rPr>
        <w:t>Порядка.</w:t>
      </w:r>
    </w:p>
    <w:p w14:paraId="30D78A59" w14:textId="77777777" w:rsidR="003401B9" w:rsidRPr="003401B9" w:rsidRDefault="003401B9" w:rsidP="003401B9">
      <w:pPr>
        <w:widowControl w:val="0"/>
        <w:tabs>
          <w:tab w:val="left" w:pos="145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Комитет в срок, указанный в пункте 2.11 Порядка, принимает решение об определении заявок, допущенных к участию в отборе, и об отклонении заявок, которое оформляется постановлением администрации Гатчинского муниципального округа.</w:t>
      </w:r>
    </w:p>
    <w:p w14:paraId="57E3432F" w14:textId="77777777" w:rsidR="003401B9" w:rsidRPr="003401B9" w:rsidRDefault="003401B9" w:rsidP="003401B9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целях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отборов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в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соответствующем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году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создается Экспертный совет (далее – Совет), состав которого утверждается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Гатчинского муниципального округа. Совет осуществляет свою деятельность свою деятельность в соответствии с </w:t>
      </w:r>
      <w:hyperlink r:id="rId14" w:anchor="P433" w:history="1">
        <w:r w:rsidRPr="003401B9">
          <w:rPr>
            <w:rFonts w:ascii="Times New Roman" w:eastAsia="Calibri" w:hAnsi="Times New Roman" w:cs="Times New Roman"/>
            <w:sz w:val="28"/>
            <w:szCs w:val="28"/>
          </w:rPr>
          <w:t>Положением</w:t>
        </w:r>
      </w:hyperlink>
      <w:r w:rsidRPr="003401B9">
        <w:rPr>
          <w:rFonts w:ascii="Times New Roman" w:eastAsia="Calibri" w:hAnsi="Times New Roman" w:cs="Times New Roman"/>
          <w:sz w:val="28"/>
          <w:szCs w:val="28"/>
        </w:rPr>
        <w:t xml:space="preserve"> о деятельности Совета и экспертов (приложение 1 к Порядку).</w:t>
      </w:r>
    </w:p>
    <w:p w14:paraId="44954D85" w14:textId="77777777" w:rsidR="003401B9" w:rsidRPr="003401B9" w:rsidRDefault="003401B9" w:rsidP="003401B9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передает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в Совет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заявки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и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прилагаемые</w:t>
      </w:r>
      <w:r w:rsidRPr="003401B9">
        <w:rPr>
          <w:rFonts w:ascii="Times New Roman" w:eastAsia="Calibri" w:hAnsi="Times New Roman" w:cs="Times New Roman"/>
          <w:spacing w:val="7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к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ним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документы для оценки, а также организует проведение собеседования с участниками отбора.</w:t>
      </w:r>
    </w:p>
    <w:p w14:paraId="2ECBD34A" w14:textId="77777777" w:rsidR="003401B9" w:rsidRPr="003401B9" w:rsidRDefault="003401B9" w:rsidP="00340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Оценка заявок Советом проводится в соответствии с Методическими рекомендациями по оценке заявок (Приложение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№ 2 к Порядку).</w:t>
      </w:r>
    </w:p>
    <w:p w14:paraId="5C758DE8" w14:textId="77777777" w:rsidR="003401B9" w:rsidRPr="003401B9" w:rsidRDefault="003401B9" w:rsidP="00340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Совет осуществляет свои полномочия в части определения среднего балла и формирования рейтингов участников отбора, выдачи рекомендаций по вопросу перераспределения ассигнований и о внесении изменений в календарный план проекта и(или) об уменьшении запрашиваемой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суммы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гранта в соответствии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 Порядком.</w:t>
      </w:r>
    </w:p>
    <w:p w14:paraId="24D1D6D3" w14:textId="77777777" w:rsidR="003401B9" w:rsidRPr="003401B9" w:rsidRDefault="003401B9" w:rsidP="00340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Размер предоставляемой субсидии определяется в соответствии с пунктом 3.3 </w:t>
      </w:r>
      <w:r w:rsidRPr="003401B9">
        <w:rPr>
          <w:rFonts w:ascii="Times New Roman" w:eastAsia="Calibri" w:hAnsi="Times New Roman" w:cs="Times New Roman"/>
          <w:spacing w:val="-2"/>
          <w:kern w:val="2"/>
          <w:sz w:val="28"/>
          <w:szCs w:val="28"/>
          <w14:ligatures w14:val="standardContextual"/>
        </w:rPr>
        <w:t>Порядка.</w:t>
      </w:r>
    </w:p>
    <w:p w14:paraId="212B1274" w14:textId="77777777" w:rsidR="003401B9" w:rsidRPr="003401B9" w:rsidRDefault="003401B9" w:rsidP="003401B9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Решения Совета принимаются простым большинством голосов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и отражаются в протоколе заседания Совета.</w:t>
      </w:r>
    </w:p>
    <w:p w14:paraId="0C6FAFA8" w14:textId="77777777" w:rsidR="003401B9" w:rsidRPr="003401B9" w:rsidRDefault="003401B9" w:rsidP="003401B9">
      <w:pPr>
        <w:widowControl w:val="0"/>
        <w:tabs>
          <w:tab w:val="left" w:pos="146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Решение о предоставлении субсидии или об отказе в предоставлении субсидии принимается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на основании протокола заседания Совета и оформляется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Гатчинского муниципального округа, проект которого готовит Комитет в течение пяти календарных дней со дня проведения заседания Совета.</w:t>
      </w:r>
    </w:p>
    <w:p w14:paraId="33B26665" w14:textId="77777777" w:rsidR="003401B9" w:rsidRPr="003401B9" w:rsidRDefault="003401B9" w:rsidP="00340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Победитель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отбора должен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подписать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соглашение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предоставлении субсидии 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не позднее</w:t>
      </w:r>
      <w:r w:rsidRPr="003401B9">
        <w:rPr>
          <w:rFonts w:ascii="Times New Roman" w:eastAsia="Calibri" w:hAnsi="Times New Roman" w:cs="Times New Roman"/>
          <w:spacing w:val="30"/>
          <w:w w:val="110"/>
          <w:kern w:val="2"/>
          <w:sz w:val="28"/>
          <w:szCs w:val="28"/>
          <w14:ligatures w14:val="standardContextual"/>
        </w:rPr>
        <w:t xml:space="preserve"> 3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0</w:t>
      </w:r>
      <w:r w:rsidRPr="003401B9">
        <w:rPr>
          <w:rFonts w:ascii="Times New Roman" w:eastAsia="Calibri" w:hAnsi="Times New Roman" w:cs="Times New Roman"/>
          <w:spacing w:val="24"/>
          <w:w w:val="11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рабочих</w:t>
      </w:r>
      <w:r w:rsidRPr="003401B9">
        <w:rPr>
          <w:rFonts w:ascii="Times New Roman" w:eastAsia="Calibri" w:hAnsi="Times New Roman" w:cs="Times New Roman"/>
          <w:spacing w:val="36"/>
          <w:w w:val="11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дней</w:t>
      </w:r>
      <w:r w:rsidRPr="003401B9">
        <w:rPr>
          <w:rFonts w:ascii="Times New Roman" w:eastAsia="Calibri" w:hAnsi="Times New Roman" w:cs="Times New Roman"/>
          <w:spacing w:val="40"/>
          <w:w w:val="11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со</w:t>
      </w:r>
      <w:r w:rsidRPr="003401B9">
        <w:rPr>
          <w:rFonts w:ascii="Times New Roman" w:eastAsia="Calibri" w:hAnsi="Times New Roman" w:cs="Times New Roman"/>
          <w:spacing w:val="36"/>
          <w:w w:val="11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дня</w:t>
      </w:r>
      <w:r w:rsidRPr="003401B9">
        <w:rPr>
          <w:rFonts w:ascii="Times New Roman" w:eastAsia="Calibri" w:hAnsi="Times New Roman" w:cs="Times New Roman"/>
          <w:spacing w:val="40"/>
          <w:w w:val="11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принятия</w:t>
      </w:r>
      <w:r w:rsidRPr="003401B9">
        <w:rPr>
          <w:rFonts w:ascii="Times New Roman" w:eastAsia="Calibri" w:hAnsi="Times New Roman" w:cs="Times New Roman"/>
          <w:spacing w:val="38"/>
          <w:w w:val="11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решения</w:t>
      </w:r>
      <w:r w:rsidRPr="003401B9">
        <w:rPr>
          <w:rFonts w:ascii="Times New Roman" w:eastAsia="Calibri" w:hAnsi="Times New Roman" w:cs="Times New Roman"/>
          <w:spacing w:val="29"/>
          <w:w w:val="11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о</w:t>
      </w:r>
      <w:r w:rsidRPr="003401B9">
        <w:rPr>
          <w:rFonts w:ascii="Times New Roman" w:eastAsia="Calibri" w:hAnsi="Times New Roman" w:cs="Times New Roman"/>
          <w:spacing w:val="25"/>
          <w:w w:val="11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 xml:space="preserve">предоставлении субсидии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типовой форме, утвержденной Комитетом финансов Гатчинского муниципального округа</w:t>
      </w:r>
      <w:r w:rsidRPr="003401B9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.</w:t>
      </w:r>
    </w:p>
    <w:p w14:paraId="5E0F0A87" w14:textId="77777777" w:rsidR="003401B9" w:rsidRPr="003401B9" w:rsidRDefault="003401B9" w:rsidP="00340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Pr="003401B9">
        <w:rPr>
          <w:rFonts w:ascii="Times New Roman" w:eastAsia="Calibri" w:hAnsi="Times New Roman" w:cs="Times New Roman"/>
          <w:spacing w:val="62"/>
          <w:w w:val="150"/>
          <w:kern w:val="2"/>
          <w:sz w:val="28"/>
          <w:szCs w:val="28"/>
          <w14:ligatures w14:val="standardContextual"/>
        </w:rPr>
        <w:t xml:space="preserve">   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случае</w:t>
      </w:r>
      <w:r w:rsidRPr="003401B9">
        <w:rPr>
          <w:rFonts w:ascii="Times New Roman" w:eastAsia="Calibri" w:hAnsi="Times New Roman" w:cs="Times New Roman"/>
          <w:spacing w:val="66"/>
          <w:w w:val="150"/>
          <w:kern w:val="2"/>
          <w:sz w:val="28"/>
          <w:szCs w:val="28"/>
          <w14:ligatures w14:val="standardContextual"/>
        </w:rPr>
        <w:t xml:space="preserve">    </w:t>
      </w:r>
      <w:proofErr w:type="spellStart"/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неподписания</w:t>
      </w:r>
      <w:proofErr w:type="spellEnd"/>
      <w:r w:rsidRPr="003401B9">
        <w:rPr>
          <w:rFonts w:ascii="Times New Roman" w:eastAsia="Calibri" w:hAnsi="Times New Roman" w:cs="Times New Roman"/>
          <w:spacing w:val="68"/>
          <w:w w:val="150"/>
          <w:kern w:val="2"/>
          <w:sz w:val="28"/>
          <w:szCs w:val="28"/>
          <w14:ligatures w14:val="standardContextual"/>
        </w:rPr>
        <w:t xml:space="preserve">   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победителем</w:t>
      </w:r>
      <w:r w:rsidRPr="003401B9">
        <w:rPr>
          <w:rFonts w:ascii="Times New Roman" w:eastAsia="Calibri" w:hAnsi="Times New Roman" w:cs="Times New Roman"/>
          <w:spacing w:val="67"/>
          <w:w w:val="150"/>
          <w:kern w:val="2"/>
          <w:sz w:val="28"/>
          <w:szCs w:val="28"/>
          <w14:ligatures w14:val="standardContextual"/>
        </w:rPr>
        <w:t xml:space="preserve">   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отбора</w:t>
      </w:r>
      <w:r w:rsidRPr="003401B9">
        <w:rPr>
          <w:rFonts w:ascii="Times New Roman" w:eastAsia="Calibri" w:hAnsi="Times New Roman" w:cs="Times New Roman"/>
          <w:spacing w:val="62"/>
          <w:w w:val="150"/>
          <w:kern w:val="2"/>
          <w:sz w:val="28"/>
          <w:szCs w:val="28"/>
          <w14:ligatures w14:val="standardContextual"/>
        </w:rPr>
        <w:t xml:space="preserve">   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соглашения в срок, указанный в абзаце первом настоящего пункта, он считается уклонившимся от заключения соглашения.</w:t>
      </w:r>
    </w:p>
    <w:p w14:paraId="0213D515" w14:textId="77777777" w:rsidR="003401B9" w:rsidRPr="003401B9" w:rsidRDefault="003401B9" w:rsidP="003401B9">
      <w:pPr>
        <w:widowControl w:val="0"/>
        <w:tabs>
          <w:tab w:val="left" w:pos="146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Решение о предоставлении субсидии, протокол заседания Совета в течение пяти календарных дней со дня подписания протокола председательствующим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размещаются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Гатчинского муниципального округа в сети Интернет.</w:t>
      </w:r>
    </w:p>
    <w:p w14:paraId="4DE239A8" w14:textId="77777777" w:rsidR="003401B9" w:rsidRPr="003401B9" w:rsidRDefault="003401B9" w:rsidP="003401B9">
      <w:pPr>
        <w:widowControl w:val="0"/>
        <w:tabs>
          <w:tab w:val="left" w:pos="146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Общий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объем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средств,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подлежащий</w:t>
      </w:r>
      <w:r w:rsidRPr="003401B9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распределению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на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отборе в 2025 году - 5 000 000,00 (Пять миллионов)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00 копеек.</w:t>
      </w:r>
    </w:p>
    <w:p w14:paraId="7ACAB041" w14:textId="77777777" w:rsidR="003401B9" w:rsidRPr="003401B9" w:rsidRDefault="003401B9" w:rsidP="003401B9">
      <w:pPr>
        <w:widowControl w:val="0"/>
        <w:tabs>
          <w:tab w:val="left" w:pos="146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  <w:lang w:bidi="ru-RU"/>
        </w:rPr>
        <w:t>Размер субсидии, предоставляемой каждому получателю субсидии, не может превышать 250 000,00 рублей</w:t>
      </w:r>
    </w:p>
    <w:p w14:paraId="4CD8B6BB" w14:textId="77777777" w:rsidR="003401B9" w:rsidRPr="003401B9" w:rsidRDefault="003401B9" w:rsidP="003401B9">
      <w:pPr>
        <w:widowControl w:val="0"/>
        <w:tabs>
          <w:tab w:val="left" w:pos="146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1B9">
        <w:rPr>
          <w:rFonts w:ascii="Times New Roman" w:eastAsia="Calibri" w:hAnsi="Times New Roman" w:cs="Times New Roman"/>
          <w:sz w:val="28"/>
          <w:szCs w:val="28"/>
        </w:rPr>
        <w:t>Разъяснения положений объявления предоставляются</w:t>
      </w:r>
      <w:r w:rsidRPr="003401B9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Комитетом в течение срока приема заявки по письменному обращению участника отбора в течение семи рабочих дней с даты регистрации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01B9">
        <w:rPr>
          <w:rFonts w:ascii="Times New Roman" w:eastAsia="Calibri" w:hAnsi="Times New Roman" w:cs="Times New Roman"/>
          <w:sz w:val="28"/>
          <w:szCs w:val="28"/>
        </w:rPr>
        <w:t>соответствующего обращения</w:t>
      </w:r>
      <w:r w:rsidRPr="003401B9">
        <w:rPr>
          <w:rFonts w:ascii="Times New Roman" w:eastAsia="Calibri" w:hAnsi="Times New Roman" w:cs="Times New Roman"/>
          <w:spacing w:val="40"/>
          <w:sz w:val="28"/>
          <w:szCs w:val="28"/>
        </w:rPr>
        <w:t>.</w:t>
      </w:r>
    </w:p>
    <w:p w14:paraId="30E70D5C" w14:textId="77777777" w:rsidR="003401B9" w:rsidRPr="003401B9" w:rsidRDefault="003401B9" w:rsidP="00340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Участник отбора также вправе обратиться в Комитет с устным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обращением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 разъяснениями положений объявления о проведении отбора по телефону: 8(81371) 2 09 39 или по электронной</w:t>
      </w:r>
      <w:r w:rsidRPr="003401B9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3401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почте: msu@gmolo.ru.</w:t>
      </w:r>
    </w:p>
    <w:sectPr w:rsidR="003401B9" w:rsidRPr="003401B9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401B9"/>
    <w:rsid w:val="0037430D"/>
    <w:rsid w:val="00422977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6625&amp;dst=100105" TargetMode="External"/><Relationship Id="rId13" Type="http://schemas.openxmlformats.org/officeDocument/2006/relationships/hyperlink" Target="https://p&#1075;omote.budget.gov.&#1075;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23&amp;dst=134" TargetMode="Externa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" TargetMode="Externa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hyperlink" Target="mailto:msu@gmol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024&amp;dst=576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hyperlink" Target="file:///C:\Users\obotd_1\Downloads\&#1086;&#1073;%20&#1086;&#1073;&#1098;&#1103;&#1074;&#1083;&#1077;&#1085;&#1080;&#1080;%20&#1086;&#1090;&#1073;&#1086;&#1088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2838</Words>
  <Characters>16183</Characters>
  <Application>Microsoft Office Word</Application>
  <DocSecurity>0</DocSecurity>
  <Lines>134</Lines>
  <Paragraphs>37</Paragraphs>
  <ScaleCrop>false</ScaleCrop>
  <Company/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2025-03-17T08:56:00Z</cp:lastPrinted>
  <dcterms:created xsi:type="dcterms:W3CDTF">2025-03-17T09:00:00Z</dcterms:created>
  <dcterms:modified xsi:type="dcterms:W3CDTF">2025-03-17T09:00:00Z</dcterms:modified>
</cp:coreProperties>
</file>