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2A857D1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AF2A6C">
        <w:rPr>
          <w:rFonts w:ascii="Times New Roman" w:hAnsi="Times New Roman"/>
          <w:sz w:val="28"/>
          <w:szCs w:val="28"/>
          <w:lang w:eastAsia="ru-RU"/>
        </w:rPr>
        <w:t>25.02.2025</w:t>
      </w:r>
      <w:r w:rsidR="00AF2A6C">
        <w:rPr>
          <w:rFonts w:ascii="Times New Roman" w:hAnsi="Times New Roman"/>
          <w:sz w:val="28"/>
          <w:szCs w:val="28"/>
          <w:lang w:eastAsia="ru-RU"/>
        </w:rPr>
        <w:tab/>
      </w:r>
      <w:r w:rsidR="00AF2A6C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AF2A6C">
        <w:rPr>
          <w:rFonts w:ascii="Times New Roman" w:hAnsi="Times New Roman"/>
          <w:sz w:val="28"/>
          <w:szCs w:val="28"/>
          <w:lang w:eastAsia="ru-RU"/>
        </w:rPr>
        <w:t>1226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7A2E9264" w14:textId="77777777" w:rsid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ectPr w:rsidR="004B4F3D">
          <w:pgSz w:w="11906" w:h="16838"/>
          <w:pgMar w:top="1134" w:right="851" w:bottom="851" w:left="1701" w:header="709" w:footer="709" w:gutter="0"/>
          <w:cols w:space="720"/>
        </w:sectPr>
      </w:pPr>
    </w:p>
    <w:p w14:paraId="0FD258E2" w14:textId="589722AA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 утверждении бюджетного прогноза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4F3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Гатчинского муниципального округа на период до 2030 года</w:t>
      </w:r>
    </w:p>
    <w:p w14:paraId="67B2F55F" w14:textId="77777777" w:rsid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ectPr w:rsidR="004B4F3D" w:rsidSect="004B4F3D">
          <w:type w:val="continuous"/>
          <w:pgSz w:w="11906" w:h="16838"/>
          <w:pgMar w:top="1134" w:right="6094" w:bottom="851" w:left="1701" w:header="709" w:footer="709" w:gutter="0"/>
          <w:cols w:space="720"/>
        </w:sectPr>
      </w:pPr>
    </w:p>
    <w:p w14:paraId="13A8914C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ACC0142" w14:textId="77777777" w:rsidR="004B4F3D" w:rsidRDefault="004B4F3D" w:rsidP="004B4F3D">
      <w:pPr>
        <w:pStyle w:val="1"/>
        <w:tabs>
          <w:tab w:val="left" w:pos="3792"/>
          <w:tab w:val="left" w:pos="755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планировании в Российской Федерации», областным законом Ленинградской области от 27.07.2015 № 82-оз «О стратегическом планировании в Ленинградской области», в целях реализации решения совета депутатов Гатчинского муниципального округа от 13.09.2024 № 10 «О вопросах правопреемства органов местного самоуправления», в соответствии с Уставом  муниципального образования Гатчинский муниципальный округ Ленинградской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</w:p>
    <w:p w14:paraId="1A7B70D1" w14:textId="6094E2C1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ПОСТАНОВЛЯЕТ:</w:t>
      </w:r>
    </w:p>
    <w:p w14:paraId="037DD389" w14:textId="77777777" w:rsidR="004B4F3D" w:rsidRPr="004B4F3D" w:rsidRDefault="004B4F3D" w:rsidP="004B4F3D">
      <w:pPr>
        <w:pStyle w:val="1"/>
        <w:numPr>
          <w:ilvl w:val="0"/>
          <w:numId w:val="1"/>
        </w:numPr>
        <w:tabs>
          <w:tab w:val="left" w:pos="1134"/>
          <w:tab w:val="left" w:pos="755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Утвердить бюджетный прогноз Гатчинского муниципального округа на период до 2030 года согласно Приложению к настоящему постановлению.</w:t>
      </w:r>
    </w:p>
    <w:p w14:paraId="0D28EE63" w14:textId="085F4C32" w:rsidR="004B4F3D" w:rsidRPr="004B4F3D" w:rsidRDefault="004B4F3D" w:rsidP="004B4F3D">
      <w:pPr>
        <w:pStyle w:val="1"/>
        <w:numPr>
          <w:ilvl w:val="0"/>
          <w:numId w:val="1"/>
        </w:numPr>
        <w:tabs>
          <w:tab w:val="left" w:pos="1134"/>
          <w:tab w:val="left" w:pos="755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Настоящее постановление вступает в силу с момента подписания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764E079B" w14:textId="77777777" w:rsidR="004B4F3D" w:rsidRPr="004B4F3D" w:rsidRDefault="004B4F3D" w:rsidP="004B4F3D">
      <w:pPr>
        <w:pStyle w:val="1"/>
        <w:numPr>
          <w:ilvl w:val="0"/>
          <w:numId w:val="1"/>
        </w:numPr>
        <w:tabs>
          <w:tab w:val="left" w:pos="1134"/>
          <w:tab w:val="left" w:pos="755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 исполнения постановления возложить на заместителя главы администрации Гатчинского муниципального округа по финансовой политике и муниципальному контролю И.В. Носкова.</w:t>
      </w:r>
    </w:p>
    <w:p w14:paraId="2A86B5A1" w14:textId="77777777" w:rsidR="004B4F3D" w:rsidRDefault="004B4F3D" w:rsidP="004B4F3D">
      <w:pPr>
        <w:pStyle w:val="1"/>
        <w:tabs>
          <w:tab w:val="left" w:pos="3792"/>
          <w:tab w:val="left" w:pos="755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C6C5E0F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CF29FC2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F623CF3" w14:textId="77777777" w:rsid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</w:p>
    <w:p w14:paraId="172A6E11" w14:textId="39B009C1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Гатчинского муниципального округа                              </w:t>
      </w: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Л.Н. </w:t>
      </w:r>
      <w:proofErr w:type="spellStart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Нещадим</w:t>
      </w:r>
      <w:proofErr w:type="spellEnd"/>
    </w:p>
    <w:p w14:paraId="51CD399F" w14:textId="77777777" w:rsid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98B4CD5" w14:textId="77777777" w:rsid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92E31B9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928727C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FBCE434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Орехова Л.И. </w:t>
      </w:r>
    </w:p>
    <w:p w14:paraId="7C8B5A9B" w14:textId="77777777" w:rsid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42CEFF3" w14:textId="77777777" w:rsid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794BD55" w14:textId="77777777" w:rsid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91FE399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</w:t>
      </w:r>
    </w:p>
    <w:p w14:paraId="276B1EA7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 постановлению администрации</w:t>
      </w:r>
    </w:p>
    <w:p w14:paraId="5383BDBD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Гатчинского муниципального округа</w:t>
      </w:r>
    </w:p>
    <w:p w14:paraId="0012EA09" w14:textId="5FFE5944" w:rsidR="004B4F3D" w:rsidRPr="004B4F3D" w:rsidRDefault="004B4F3D" w:rsidP="004B4F3D">
      <w:pPr>
        <w:pStyle w:val="1"/>
        <w:tabs>
          <w:tab w:val="left" w:pos="3792"/>
          <w:tab w:val="left" w:pos="7550"/>
        </w:tabs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="00AF2A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25.02.2025</w:t>
      </w:r>
      <w:r w:rsidRPr="004B4F3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№</w:t>
      </w:r>
      <w:r w:rsidR="00AF2A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1226</w:t>
      </w:r>
    </w:p>
    <w:p w14:paraId="70A8FDBC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1E1B046B" w14:textId="3462C402" w:rsidR="004B4F3D" w:rsidRPr="004B4F3D" w:rsidRDefault="004B4F3D" w:rsidP="004B4F3D">
      <w:pPr>
        <w:pStyle w:val="1"/>
        <w:tabs>
          <w:tab w:val="left" w:pos="3792"/>
          <w:tab w:val="left" w:pos="755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Бюджетный прогноз Гатчинского муниципального округа</w:t>
      </w:r>
    </w:p>
    <w:p w14:paraId="0D854C60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на период до 2030 года</w:t>
      </w:r>
    </w:p>
    <w:p w14:paraId="4DCFA7A3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325EEADD" w14:textId="77777777" w:rsidR="004B4F3D" w:rsidRPr="004B4F3D" w:rsidRDefault="004B4F3D" w:rsidP="004B4F3D">
      <w:pPr>
        <w:pStyle w:val="1"/>
        <w:numPr>
          <w:ilvl w:val="0"/>
          <w:numId w:val="2"/>
        </w:numPr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Условия формирования бюджетного прогноза Гатчинского муниципального округа до 2030 года. </w:t>
      </w:r>
    </w:p>
    <w:p w14:paraId="7E64E12B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F1F3A5C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Бюджетный прогноз Гатчинского муниципального округа на период до 2030 года разработан с учетом основных направлений бюджетной и налоговой политики Гатчинского муниципального округа на 2025 год и плановый период 2026 и 2027 годов, на основе показателей прогноза социально-экономического развития Гатчинского муниципального округа до 2027 года, на базе статистических данных, включая предварительные итоги социально-экономического развития Гатчинского муниципального района Ленинградской области за 1 полугодие 2024 года и ожидаемые итоги социально-экономического развития Гатчинского муниципального района Ленинградской области за 2024 год, а также с учетом сложившейся экономической ситуации, связанной с предотвращением влияния ухудшения геополитической и экономической ситуации и последствиями, связанными с проведением специальной военной операции.</w:t>
      </w:r>
    </w:p>
    <w:p w14:paraId="6C0ED27B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Целью долгосрочного бюджетного планирования в Гатчинском муниципальном округе является обеспечение предсказуемости динамики доходов и расходов бюджета Гатчинского муниципального округа, что позволяет оценивать факторы, влияющие на изменение объема доходов и расходов.</w:t>
      </w:r>
    </w:p>
    <w:p w14:paraId="0FADAAA7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Основная задача долгосрочного бюджетного планирования состоит во </w:t>
      </w:r>
      <w:proofErr w:type="spellStart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взаимоувязке</w:t>
      </w:r>
      <w:proofErr w:type="spellEnd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проводимой бюджетной политики с задачами по обеспечению устойчивого экономического роста, обеспечению эффективности управления и развития гражданского общества.</w:t>
      </w:r>
    </w:p>
    <w:p w14:paraId="147886C9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формировании бюджетного прогноза были реализованы следующие мероприятия:</w:t>
      </w:r>
    </w:p>
    <w:p w14:paraId="6ED796BF" w14:textId="77777777" w:rsidR="004B4F3D" w:rsidRPr="004B4F3D" w:rsidRDefault="004B4F3D" w:rsidP="004B4F3D">
      <w:pPr>
        <w:pStyle w:val="1"/>
        <w:numPr>
          <w:ilvl w:val="0"/>
          <w:numId w:val="3"/>
        </w:numPr>
        <w:tabs>
          <w:tab w:val="left" w:pos="1134"/>
          <w:tab w:val="left" w:pos="755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сформулированы основные направления бюджетной и налоговой политики Гатчинского муниципального округа на 2025 год и на плановый период 2026 и 2027 годов;</w:t>
      </w:r>
    </w:p>
    <w:p w14:paraId="5FBF1366" w14:textId="77777777" w:rsidR="004B4F3D" w:rsidRPr="004B4F3D" w:rsidRDefault="004B4F3D" w:rsidP="004B4F3D">
      <w:pPr>
        <w:pStyle w:val="1"/>
        <w:numPr>
          <w:ilvl w:val="0"/>
          <w:numId w:val="3"/>
        </w:numPr>
        <w:tabs>
          <w:tab w:val="left" w:pos="1134"/>
          <w:tab w:val="left" w:pos="755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определены предельные объемы расходов бюджета Гатчинского муниципального округа на долгосрочный период до 2030 года, в том числе по муниципальным программам Гатчинского муниципального округа;</w:t>
      </w:r>
    </w:p>
    <w:p w14:paraId="40580D31" w14:textId="77777777" w:rsidR="004B4F3D" w:rsidRPr="004B4F3D" w:rsidRDefault="004B4F3D" w:rsidP="004B4F3D">
      <w:pPr>
        <w:pStyle w:val="1"/>
        <w:numPr>
          <w:ilvl w:val="0"/>
          <w:numId w:val="3"/>
        </w:numPr>
        <w:tabs>
          <w:tab w:val="left" w:pos="1134"/>
          <w:tab w:val="left" w:pos="755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определены приоритетные расходы бюджета Гатчинского муниципального округа;</w:t>
      </w:r>
    </w:p>
    <w:p w14:paraId="0CFEE22D" w14:textId="77777777" w:rsidR="004B4F3D" w:rsidRPr="004B4F3D" w:rsidRDefault="004B4F3D" w:rsidP="004B4F3D">
      <w:pPr>
        <w:pStyle w:val="1"/>
        <w:numPr>
          <w:ilvl w:val="0"/>
          <w:numId w:val="3"/>
        </w:numPr>
        <w:tabs>
          <w:tab w:val="left" w:pos="1134"/>
          <w:tab w:val="left" w:pos="755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проведена оценка основных рисков и угроз сбалансированности бюджета Гатчинского муниципального округа, выработаны механизмы по их минимизации.</w:t>
      </w:r>
    </w:p>
    <w:p w14:paraId="547D1DFE" w14:textId="77777777" w:rsidR="004B4F3D" w:rsidRPr="004B4F3D" w:rsidRDefault="004B4F3D" w:rsidP="004B4F3D">
      <w:pPr>
        <w:pStyle w:val="1"/>
        <w:numPr>
          <w:ilvl w:val="0"/>
          <w:numId w:val="4"/>
        </w:numPr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1" w:name="_Toc461786480"/>
      <w:r w:rsidRPr="004B4F3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Прогноз основных параметров бюджета Гатчинского муниципального округа на период до 2030 года</w:t>
      </w:r>
      <w:bookmarkEnd w:id="1"/>
      <w:r w:rsidRPr="004B4F3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14:paraId="5EF489E4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65AC9E4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Расчеты объемов поступлений налоговых и неналоговых доходов в бюджет Гатчинского муниципального округа в рамках составления Бюджетного прогноза основаны на показателях долгосрочного прогноза социально-экономического развития Гатчинского муниципального района на период до 2026 года, характеризующих как общие тенденции развития экономики (объем валового регионального продукта, динамика индекса промышленного производства, объем инвестиций в основной капитал и т.д.), так и изменение макроэкономических показателей, оказывающих непосредственное влияние на объемы поступлений по основным доходным источникам бюджета:</w:t>
      </w:r>
    </w:p>
    <w:p w14:paraId="44001668" w14:textId="77777777" w:rsidR="004B4F3D" w:rsidRPr="004B4F3D" w:rsidRDefault="004B4F3D" w:rsidP="004B4F3D">
      <w:pPr>
        <w:pStyle w:val="1"/>
        <w:numPr>
          <w:ilvl w:val="0"/>
          <w:numId w:val="5"/>
        </w:numPr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темп роста прибыли прибыльных организаций;</w:t>
      </w:r>
    </w:p>
    <w:p w14:paraId="526860CF" w14:textId="77777777" w:rsidR="004B4F3D" w:rsidRPr="004B4F3D" w:rsidRDefault="004B4F3D" w:rsidP="004B4F3D">
      <w:pPr>
        <w:pStyle w:val="1"/>
        <w:numPr>
          <w:ilvl w:val="0"/>
          <w:numId w:val="5"/>
        </w:numPr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темп роста фонда заработной платы;</w:t>
      </w:r>
    </w:p>
    <w:p w14:paraId="0956B48D" w14:textId="77777777" w:rsidR="004B4F3D" w:rsidRPr="004B4F3D" w:rsidRDefault="004B4F3D" w:rsidP="004B4F3D">
      <w:pPr>
        <w:pStyle w:val="1"/>
        <w:numPr>
          <w:ilvl w:val="0"/>
          <w:numId w:val="5"/>
        </w:numPr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темп роста амортизационных отчислений.</w:t>
      </w:r>
    </w:p>
    <w:p w14:paraId="5E594669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 основных доходных источников бюджета является налог на доходы физических лиц. Долгосрочный прогноз по данному доходному источнику рассчитан исходя из индекса-дефлятора, характеризующего темп роста фонда заработной платы, темпа роста численности занятых в экономике по прогнозу социально – экономического развития Ленинградской области, рост недоимки, а также с учетом предполагаемого ежегодного прироста социальных и имущественных налоговых вычетов, предоставляемых физическим лицам в рамках реализации налоговой политики Российской Федерации при проведении ежегодных декларационных кампаний.</w:t>
      </w:r>
    </w:p>
    <w:p w14:paraId="21EF0509" w14:textId="0D5C88A4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Поступления акцизов по подакцизным товарам (продукции), производимым на территории Российской Федерации, рассчитываются исходя из индекса-дефлятора, характеризующего производство нефтепродуктов, изменений бюджетного законодательства и нормативов отчислений в бюджеты.</w:t>
      </w:r>
    </w:p>
    <w:p w14:paraId="69A0EA68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Проектом областного закона Ленинградской области об областном бюджете Ленинградской области устанавливается норматив отчислений с учетом дифференцированного норматива в бюджеты муниципальных районов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Федерации.</w:t>
      </w:r>
    </w:p>
    <w:p w14:paraId="5D4D8433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Налог, взимаемый в связи с применением упрощенной системы </w:t>
      </w:r>
      <w:proofErr w:type="gramStart"/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налогообложения</w:t>
      </w:r>
      <w:proofErr w:type="gramEnd"/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зачисляется в бюджет Гатчинского муниципального округа по нормативу 100% на основании областного закона Ленинградской области от 14 октября 2019 года № 75-оз «О межбюджетных отношениях в Ленинградской области» (в ред. от 09.07.2024). </w:t>
      </w:r>
    </w:p>
    <w:p w14:paraId="01D5925D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прогнозировании налога учтен индекс-дефлятор, характеризующий индекс роста потребительских цен, также в целях создания </w:t>
      </w:r>
      <w:r w:rsidRPr="004B4F3D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благоприятных условий для ведения малого и среднего бизнеса на территории Гатчинского муниципального округа: </w:t>
      </w:r>
    </w:p>
    <w:p w14:paraId="795CBA98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– для налогоплательщиков, применяющих упрощенную систему налогообложения (далее – УСН) и выбравших в качестве объекта </w:t>
      </w:r>
      <w:r w:rsidRPr="004B4F3D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lastRenderedPageBreak/>
        <w:t>налогообложения доходы, уменьшенные на величину расходов, действует пониженная налоговая ставка в размере 5 процентов (при максимальном уровне ставки 15 процентов);</w:t>
      </w:r>
    </w:p>
    <w:p w14:paraId="756F5DFE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– для налогоплательщиков, применяющих УСН и выбравших в качестве объекта налогообложения доходы, по отдельным видам деятельности применяются пониженные налоговые ставки в размерах 3% и 1% (при максимальном уровне ставки 6 процентов);</w:t>
      </w:r>
    </w:p>
    <w:p w14:paraId="4C75C518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iCs/>
          <w:color w:val="000000"/>
          <w:sz w:val="28"/>
          <w:szCs w:val="28"/>
          <w:lang w:eastAsia="ru-RU" w:bidi="ru-RU"/>
        </w:rPr>
        <w:t>– до 2025 год продлен срок действия нулевой налоговой ставки для налогоплательщиков – индивидуальных предпринимателей, осуществляющих предпринимательскую деятельность в производственной, социальной и (или) научной сферах с учетом условий, установленных Налоговым кодексом Российской Федерации.</w:t>
      </w:r>
    </w:p>
    <w:p w14:paraId="5D17123E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Ставки </w:t>
      </w:r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налога, взимаемого в связи с применением упрощенной системы налогообложения, </w:t>
      </w: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установлены Областным законом Ленинградской области от 12 октября 2009 года (в ред. от 28.11.2023) № 78-оз «Об установлении ставки налога, взимаемого в связи с применением упрощенной системы налогообложения, на территории Ленинградской области»</w:t>
      </w:r>
    </w:p>
    <w:p w14:paraId="5923BD46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На основании Бюджетного кодекса Российской Федерации (Глава 9, статья 61.6, п.2) единый сельскохозяйственный налог в бюджет Гатчинского муниципального округа зачисляется по нормативу 100%.</w:t>
      </w:r>
    </w:p>
    <w:p w14:paraId="4B20FDB9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При прогнозировании данного налога учитывается ожидаемое исполнение за текущий год с применением индекса-дефлятора, характеризующего продукцию сельского хозяйства.</w:t>
      </w:r>
    </w:p>
    <w:p w14:paraId="4BB26D23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Налог, взимаемый в связи с применением патентной системы </w:t>
      </w:r>
      <w:proofErr w:type="gramStart"/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налогообложения</w:t>
      </w:r>
      <w:proofErr w:type="gramEnd"/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зачисляется в бюджет Гатчинского муниципального района по нормативу 100% на основании Бюджетного кодекса Российской Федерации (Глава 9, статья 61.6, п.2).</w:t>
      </w:r>
    </w:p>
    <w:p w14:paraId="1711A3C5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При прогнозировании данного налога учитывается ожидаемое исполнение за текущий год с применением индекса роста промышленного производства. </w:t>
      </w:r>
    </w:p>
    <w:p w14:paraId="1AC47E0E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Налог на имущество физических лиц зачисляется в бюджет Гатчинского муниципального округа по нормативу 100% на основании Бюджетного кодекса Российской Федерации (Глава 9, статья 61.6, п.1).</w:t>
      </w:r>
    </w:p>
    <w:p w14:paraId="7F24AF7B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Расчеты произведены исходя из суммы подлежащей уплате в консолидированный бюджет Гатчинского муниципального района по форме 5 - МН, с учетом суммы налога, не поступившей в бюджет в связи с предоставлением налогоплательщикам льгот по налогу, с учетом индекса потребительских цен.</w:t>
      </w:r>
    </w:p>
    <w:p w14:paraId="3D6CFE11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Земельный налог в соответствии с Бюджетным кодексом Российской Федерации (Глава 9, статья 61.6, п.1) подлежит зачислению в бюджет Гатчинского муниципального округа по нормативу 100 %.</w:t>
      </w:r>
    </w:p>
    <w:p w14:paraId="195B99BC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Расчет прогнозируемых поступлений земельного налога рассчитан в соответствии с расчетами МИНФС №7 по Ленинградской области, исходя из коэффициента собираемости налога и коэффициента переходящих платежей.</w:t>
      </w:r>
    </w:p>
    <w:p w14:paraId="6A2586AE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расчете прогнозируемых поступлений государственной пошлины учитывается ожидаемое исполнение за текущий год с применением индекса-дефлятора по платным услугам.</w:t>
      </w:r>
    </w:p>
    <w:p w14:paraId="3CACA2B1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 бюджет Гатчинского муниципального округа зачисляется государственная пошлина по нормативу 100 процентов в соответствии с перечнем, установленным ст.61.6 Бюджетного кодекса Российской Федерации:</w:t>
      </w:r>
    </w:p>
    <w:p w14:paraId="45EA4634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государственная пошлина по делам, рассматриваемым в судах общей юрисдикции, мировыми судьями (за исключением Верховного Суда Российской Федерации) (главный администратор - Федеральная налоговая служба);</w:t>
      </w:r>
    </w:p>
    <w:p w14:paraId="479413EE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- государственная пошлина за выдачу разрешения на установку рекламной конструкции (главный администратор – администрация Гатчинского муниципального округа). </w:t>
      </w:r>
    </w:p>
    <w:p w14:paraId="16CD5F8A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Объемы поступлений по неналоговым доходам на долгосрочный период в основном рассчитаны с применением ежегодной динамики роста, учтенной при формировании доходной части бюджета на период 2025-2027 годов.</w:t>
      </w:r>
    </w:p>
    <w:p w14:paraId="5FD6EEF2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Прогнозируемые суммы неналоговых доходов отражены в соответствии с расчетами главных администраторов соответствующих доходов. </w:t>
      </w:r>
    </w:p>
    <w:p w14:paraId="5399B47F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Основные параметры бюджета Гатчинского муниципального округа на период до 2030 года представлены в Приложении 2.</w:t>
      </w:r>
    </w:p>
    <w:p w14:paraId="4AAE4C45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BB0CEA2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 Структура и динамика доходной части бюджета Гатчинского муниципального округа за период 2025-2030 годов характеризуется следующими показателями:</w:t>
      </w:r>
    </w:p>
    <w:p w14:paraId="68F3CEFA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тыс.руб</w:t>
      </w:r>
      <w:proofErr w:type="spellEnd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6C583A83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36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1559"/>
        <w:gridCol w:w="1276"/>
        <w:gridCol w:w="1559"/>
        <w:gridCol w:w="1276"/>
        <w:gridCol w:w="1276"/>
      </w:tblGrid>
      <w:tr w:rsidR="004B4F3D" w:rsidRPr="004B4F3D" w14:paraId="5239C3CC" w14:textId="77777777" w:rsidTr="004B4F3D">
        <w:trPr>
          <w:trHeight w:val="15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B0C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49A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EA8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Удельный вес в общей сумме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385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2030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6DE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Удельный вес в общей сумме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DF0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Динамика за период 2025-2030 годы</w:t>
            </w:r>
          </w:p>
        </w:tc>
      </w:tr>
      <w:tr w:rsidR="004B4F3D" w:rsidRPr="004B4F3D" w14:paraId="3F1E974B" w14:textId="77777777" w:rsidTr="004B4F3D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4D4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E41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18 926 542,2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999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9E54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24 684 000,0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D50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750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130,4</w:t>
            </w:r>
          </w:p>
        </w:tc>
      </w:tr>
      <w:tr w:rsidR="004B4F3D" w:rsidRPr="004B4F3D" w14:paraId="3D9CA68D" w14:textId="77777777" w:rsidTr="004B4F3D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DFBB" w14:textId="607B553B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1. Налоговые и </w:t>
            </w:r>
            <w:r w:rsidR="00666DB9"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C75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11 100 000,0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86F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645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18 050 000,0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AF4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334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162,6</w:t>
            </w:r>
          </w:p>
        </w:tc>
      </w:tr>
      <w:tr w:rsidR="004B4F3D" w:rsidRPr="004B4F3D" w14:paraId="6F7D4385" w14:textId="77777777" w:rsidTr="004B4F3D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550D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1.1. 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A7C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9 944 000,0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E8F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495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16 700 000,0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FFC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29D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167,9</w:t>
            </w:r>
          </w:p>
        </w:tc>
      </w:tr>
      <w:tr w:rsidR="004B4F3D" w:rsidRPr="004B4F3D" w14:paraId="367477BB" w14:textId="77777777" w:rsidTr="004B4F3D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2F7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1.2.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B71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1 156 000,0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975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CD7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1 350 000,0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8D0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FE0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116,8</w:t>
            </w:r>
          </w:p>
        </w:tc>
      </w:tr>
      <w:tr w:rsidR="004B4F3D" w:rsidRPr="004B4F3D" w14:paraId="709D79D7" w14:textId="77777777" w:rsidTr="004B4F3D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1514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2. Безвозмездные поступления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796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7 826 542,2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50A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A20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6 634 000,0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E44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496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84,8</w:t>
            </w:r>
          </w:p>
        </w:tc>
      </w:tr>
    </w:tbl>
    <w:p w14:paraId="6458237E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4567251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доходной части бюджета Гатчинского муниципального округа в период 2025-2030 годов основной удельный вес (52,5% в 2025 году и 67,6% в 2030 году) занимают налоговые доходы.</w:t>
      </w:r>
    </w:p>
    <w:p w14:paraId="236C433A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Основными налоговыми доходными источниками бюджета Гатчинского муниципального округа по-прежнему останутся налог на доходы физических лиц, налог, взимаемый в связи с применением упрощенной системы </w:t>
      </w: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налогообложения.</w:t>
      </w:r>
    </w:p>
    <w:p w14:paraId="0B5BCB96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Рост поступлений по налоговым доходам за период 2025-2030 годы с учетом утвержденных макроэкономических показателей по прогнозу социально-экономического развития Гатчинского муниципального округа составит 167,9%.</w:t>
      </w:r>
    </w:p>
    <w:p w14:paraId="5B9DDFDB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структуре неналоговых доходов бюджета Гатчинского муниципального округа основной удельный вес занимают доходы, получаемые в виде арендной платы за земельные участки, плата за негативное воздействие на окружающую среду, доходы от продажи земельных участков.</w:t>
      </w:r>
    </w:p>
    <w:p w14:paraId="52A1AE66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учетом особенностей исчисления и уплаты указанных платежей увеличение поступлений по неналоговым доходам по отношению к 2025 году ожидается на уровне 116,8%.</w:t>
      </w:r>
    </w:p>
    <w:p w14:paraId="1FAC50BB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Снижение объема безвозмездных поступлений в бюджет Гатчинского муниципального округа планируется в размере 84,8%.</w:t>
      </w:r>
    </w:p>
    <w:p w14:paraId="30A1C8F6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Безвозмездные поступления из бюджета Ленинградской области на 2025 год и плановый период 2026 и 2027 годов запланированы с учетом проекта областного закона Ленинградской области «Об областном бюджете Ленинградской области на 2025 год и плановый период 2026 и 2027 годов», на 2028 - 2030 годы с учетом применения индекса-дефлятора к субсидиям и субвенциям, предоставляемым из областного бюджета.</w:t>
      </w:r>
    </w:p>
    <w:p w14:paraId="49A75398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33EB9F9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 Структура и динамика расходной части бюджета Гатчинского муниципального округа за период 2025-2030 годов характеризуется следующими показателями:</w:t>
      </w:r>
    </w:p>
    <w:p w14:paraId="08715170" w14:textId="77777777" w:rsid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тыс.руб</w:t>
      </w:r>
      <w:proofErr w:type="spellEnd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4851C551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984"/>
        <w:gridCol w:w="2410"/>
      </w:tblGrid>
      <w:tr w:rsidR="004B4F3D" w:rsidRPr="004B4F3D" w14:paraId="300EA4AC" w14:textId="77777777" w:rsidTr="004B4F3D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DF034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4F5C7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5829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2030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F0C7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Динамика за период 2025-2030 годы</w:t>
            </w:r>
          </w:p>
        </w:tc>
      </w:tr>
      <w:tr w:rsidR="004B4F3D" w:rsidRPr="004B4F3D" w14:paraId="059D32E0" w14:textId="77777777" w:rsidTr="004B4F3D">
        <w:trPr>
          <w:trHeight w:val="2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03A1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Расходы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17BD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19 851 542,</w:t>
            </w: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9C2A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25 284 000,</w:t>
            </w: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C38D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+ 5 432 457,9 (27,4%)</w:t>
            </w:r>
          </w:p>
        </w:tc>
      </w:tr>
      <w:tr w:rsidR="004B4F3D" w:rsidRPr="004B4F3D" w14:paraId="1D537D98" w14:textId="77777777" w:rsidTr="004B4F3D">
        <w:trPr>
          <w:trHeight w:val="2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579A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8603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1187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392C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4F3D" w:rsidRPr="004B4F3D" w14:paraId="0BC81AF3" w14:textId="77777777" w:rsidTr="004B4F3D">
        <w:trPr>
          <w:trHeight w:val="2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5EFD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национальная экономика и 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EA06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5 716 890,6 (28,</w:t>
            </w: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8</w:t>
            </w: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% расходов)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BBFE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6 821 304,2 (27,0% расходов)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E7EED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+ 1</w:t>
            </w: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 </w:t>
            </w: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104</w:t>
            </w: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 </w:t>
            </w: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413,6 (19,3%)</w:t>
            </w:r>
          </w:p>
        </w:tc>
      </w:tr>
      <w:tr w:rsidR="004B4F3D" w:rsidRPr="004B4F3D" w14:paraId="2D3A1D6C" w14:textId="77777777" w:rsidTr="004B4F3D">
        <w:trPr>
          <w:trHeight w:val="2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E8F6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социально-культурная сфера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F516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11 551 306,8 (58,2% расходов)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3D6F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14 641 657,1 (57,9% расходов)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A415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+ 3 090 350,3 (26,8%)</w:t>
            </w:r>
          </w:p>
        </w:tc>
      </w:tr>
    </w:tbl>
    <w:p w14:paraId="29877826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D192152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долгосрочной перспективе структура расходов бюджета Гатчинского муниципального округа не претерпит кардинальных изменений – доля расходов на национальную экономику и жилищно-коммунальное хозяйство в пределах 27-28% от общей суммы расходов, на социально-культурную сферу около 58% расходов.</w:t>
      </w:r>
    </w:p>
    <w:p w14:paraId="5820269F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абсолютных значениях рост расходов бюджета Гатчинского муниципального округа за период с 2025 по 2030 год составит 127,4% или </w:t>
      </w: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5 432 457,9 </w:t>
      </w:r>
      <w:proofErr w:type="spellStart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тыс.руб</w:t>
      </w:r>
      <w:proofErr w:type="spellEnd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., в том числе:</w:t>
      </w:r>
    </w:p>
    <w:p w14:paraId="647687D0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– расходы на национальную экономику и жилищно-коммунальное хозяйство в 2030 году увеличатся на 1 104 413,6 </w:t>
      </w:r>
      <w:proofErr w:type="spellStart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тыс.руб</w:t>
      </w:r>
      <w:proofErr w:type="spellEnd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или 19,3% к 2025 году;</w:t>
      </w:r>
    </w:p>
    <w:p w14:paraId="32451F8A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расходы на социально-культурную сферу увеличатся на 3 090 350,3 </w:t>
      </w:r>
      <w:proofErr w:type="spellStart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тыс.руб</w:t>
      </w:r>
      <w:proofErr w:type="spellEnd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или 26,8% к 2025 году.</w:t>
      </w:r>
    </w:p>
    <w:p w14:paraId="20D7B6F8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Долгосрочный прогноз бюджета Гатчинского муниципального округа по расходной части рассчитан исходя из:</w:t>
      </w:r>
    </w:p>
    <w:p w14:paraId="0E9306AA" w14:textId="77777777" w:rsidR="004B4F3D" w:rsidRPr="004B4F3D" w:rsidRDefault="004B4F3D" w:rsidP="004B4F3D">
      <w:pPr>
        <w:pStyle w:val="1"/>
        <w:numPr>
          <w:ilvl w:val="0"/>
          <w:numId w:val="6"/>
        </w:numPr>
        <w:tabs>
          <w:tab w:val="left" w:pos="1134"/>
          <w:tab w:val="left" w:pos="755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индекса потребительских цен;</w:t>
      </w:r>
    </w:p>
    <w:p w14:paraId="39734E92" w14:textId="77777777" w:rsidR="004B4F3D" w:rsidRPr="004B4F3D" w:rsidRDefault="004B4F3D" w:rsidP="004B4F3D">
      <w:pPr>
        <w:pStyle w:val="1"/>
        <w:numPr>
          <w:ilvl w:val="0"/>
          <w:numId w:val="6"/>
        </w:numPr>
        <w:tabs>
          <w:tab w:val="left" w:pos="1134"/>
          <w:tab w:val="left" w:pos="755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сохранения расходов на капитальные вложения в объекты муниципальной собственности на уровне не более 10,5% от общего объема расходов бюджета Гатчинского муниципального округа;</w:t>
      </w:r>
    </w:p>
    <w:p w14:paraId="179A1454" w14:textId="77777777" w:rsidR="004B4F3D" w:rsidRPr="004B4F3D" w:rsidRDefault="004B4F3D" w:rsidP="004B4F3D">
      <w:pPr>
        <w:pStyle w:val="1"/>
        <w:numPr>
          <w:ilvl w:val="0"/>
          <w:numId w:val="6"/>
        </w:numPr>
        <w:tabs>
          <w:tab w:val="left" w:pos="1134"/>
          <w:tab w:val="left" w:pos="755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объемов дорожного фонда с поэтапным приростом расходов за счет средств областного бюджета Ленинградской области начиная с 2025 года;</w:t>
      </w:r>
    </w:p>
    <w:p w14:paraId="0D0A9377" w14:textId="77777777" w:rsidR="004B4F3D" w:rsidRPr="004B4F3D" w:rsidRDefault="004B4F3D" w:rsidP="004B4F3D">
      <w:pPr>
        <w:pStyle w:val="1"/>
        <w:numPr>
          <w:ilvl w:val="0"/>
          <w:numId w:val="6"/>
        </w:numPr>
        <w:tabs>
          <w:tab w:val="left" w:pos="1134"/>
          <w:tab w:val="left" w:pos="7550"/>
        </w:tabs>
        <w:ind w:left="0"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уровня безвозмездных поступлений.</w:t>
      </w:r>
    </w:p>
    <w:p w14:paraId="3688C153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2023 году консолидированный бюджет Гатчинского муниципального района исполнен с профицитом в сумме 923,6 </w:t>
      </w:r>
      <w:proofErr w:type="spellStart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млн.руб</w:t>
      </w:r>
      <w:proofErr w:type="spellEnd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В последующие годы размер дефицита будет уменьшаться в номинальном выражении и сокращаться относительно объема доходов бюджета (без учета утвержденного объема безвозмездных поступлений и дополнительного норматива по НДФЛ). Ожидается, что к 2030 году дефицит бюджета Гатчинского муниципального округа будет составлять 3,3% от объема доходов бюджета Гатчинского муниципального округа (без учета утвержденного объема безвозмездных поступлений и дополнительного норматива по НДФЛ).</w:t>
      </w:r>
    </w:p>
    <w:p w14:paraId="376D505D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7B0D700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3. </w:t>
      </w:r>
      <w:bookmarkStart w:id="2" w:name="_Toc461786481"/>
      <w:r w:rsidRPr="004B4F3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Прогноз основных характеристик бюджета Гатчинского муниципального округа на период до 2030 года</w:t>
      </w:r>
      <w:bookmarkEnd w:id="2"/>
      <w:r w:rsidRPr="004B4F3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14:paraId="56350552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B1A1166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Исходя из показателей прогноза, доходы бюджета Гатчинского муниципального округа увеличатся к 2030 году на 5 757 457,8 тыс. руб. по сравнению с 2025 годом.</w:t>
      </w:r>
    </w:p>
    <w:p w14:paraId="421A6480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Расходы бюджета Гатчинского муниципального округа увеличатся в 2030 году на 5 432 457,9 тыс. руб. по сравнению с 2025 годом.</w:t>
      </w:r>
    </w:p>
    <w:p w14:paraId="098E524D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Дефицит бюджета Гатчинского муниципального округа изменится с суммы 925 000,0 </w:t>
      </w:r>
      <w:proofErr w:type="spellStart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тыс.руб</w:t>
      </w:r>
      <w:proofErr w:type="spellEnd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в 2025 году до 600 000,0 </w:t>
      </w:r>
      <w:proofErr w:type="spellStart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тыс.руб</w:t>
      </w:r>
      <w:proofErr w:type="spellEnd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в 2030 году, в процентном же отношении к налоговым и неналоговым доходам в 2030 году дефицит составит не более 3,3%.</w:t>
      </w:r>
    </w:p>
    <w:p w14:paraId="33F8189C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Муниципальный долг Гатчинского муниципального района в 2030 году составит 100 000,0 </w:t>
      </w:r>
      <w:proofErr w:type="spellStart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тыс.руб</w:t>
      </w:r>
      <w:proofErr w:type="spellEnd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14:paraId="4FD4DAD5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3DC0621" w14:textId="77777777" w:rsidR="004B4F3D" w:rsidRPr="004B4F3D" w:rsidRDefault="004B4F3D" w:rsidP="004B4F3D">
      <w:pPr>
        <w:pStyle w:val="1"/>
        <w:numPr>
          <w:ilvl w:val="0"/>
          <w:numId w:val="7"/>
        </w:numPr>
        <w:tabs>
          <w:tab w:val="left" w:pos="993"/>
          <w:tab w:val="left" w:pos="7550"/>
        </w:tabs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3" w:name="_Toc461786482"/>
      <w:r w:rsidRPr="004B4F3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Показатели финансового обеспечения муниципальных программ Гатчинского муниципального округа на период до 2030 года</w:t>
      </w:r>
      <w:bookmarkEnd w:id="3"/>
      <w:r w:rsidRPr="004B4F3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14:paraId="1AE3F748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6925016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Показатели финансового обеспечения муниципальных программ Гатчинского муниципального округа на период до 2030 года представлены в Приложении 3.</w:t>
      </w:r>
    </w:p>
    <w:p w14:paraId="2617280C" w14:textId="77777777" w:rsidR="004B4F3D" w:rsidRPr="004B4F3D" w:rsidRDefault="004B4F3D" w:rsidP="00666DB9">
      <w:pPr>
        <w:pStyle w:val="1"/>
        <w:tabs>
          <w:tab w:val="left" w:pos="3792"/>
          <w:tab w:val="left" w:pos="755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 Гатчинском муниципальном округе с 2025 года планируются к реализации 11 муниципальных программ, которые утверждены постановлениями администрации Гатчинского муниципального района и имеют срок действия с 01 января 2025 года по 31 декабря 2027 года, что говорит об ограниченности существующего горизонта планирования, однако уровень программных расходов в структуре бюджета Гатчинского муниципального округа будет сохраняться в размере не менее 85,0%.</w:t>
      </w:r>
    </w:p>
    <w:p w14:paraId="616815D8" w14:textId="77777777" w:rsidR="004B4F3D" w:rsidRPr="004B4F3D" w:rsidRDefault="004B4F3D" w:rsidP="00666DB9">
      <w:pPr>
        <w:pStyle w:val="1"/>
        <w:tabs>
          <w:tab w:val="left" w:pos="3792"/>
          <w:tab w:val="left" w:pos="755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Бюджетные ассигнования на финансовое обеспечение расходов в рамках муниципальных программ Гатчинского муниципального округа на 2025 год планируются в сумме 17 224 427,2 </w:t>
      </w:r>
      <w:proofErr w:type="spellStart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тыс.руб</w:t>
      </w:r>
      <w:proofErr w:type="spellEnd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(или 86,8% от общего объема расходов), непрограммные расходы – 2 627 115,1 </w:t>
      </w:r>
      <w:proofErr w:type="spellStart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тыс.руб</w:t>
      </w:r>
      <w:proofErr w:type="spellEnd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(или 13,2% от общего объема расходов), в 2030 году – 21 668 545,5 </w:t>
      </w:r>
      <w:proofErr w:type="spellStart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тыс.руб</w:t>
      </w:r>
      <w:proofErr w:type="spellEnd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(или 85,7% от общего объема расходов), непрограммные расходы – 3 615 454,5 </w:t>
      </w:r>
      <w:proofErr w:type="spellStart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тыс.руб</w:t>
      </w:r>
      <w:proofErr w:type="spellEnd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(или 14,3% от общего объема расходов). Таким образом, планируемый рост расходной части бюджета в рамках программ составит 4 444 118,4 </w:t>
      </w:r>
      <w:proofErr w:type="spellStart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тыс.руб</w:t>
      </w:r>
      <w:proofErr w:type="spellEnd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или 25,8% к 2025 году, непрограммной части – 988 339,4 </w:t>
      </w:r>
      <w:proofErr w:type="spellStart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тыс.руб</w:t>
      </w:r>
      <w:proofErr w:type="spellEnd"/>
      <w:r w:rsidRPr="004B4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или 37,6% к 2025 году.</w:t>
      </w:r>
    </w:p>
    <w:p w14:paraId="711AF63A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2650B74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97528B2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EA72069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C933D9F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7B00907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7572C94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6561E34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0D19539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3566780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ectPr w:rsidR="004B4F3D" w:rsidRPr="004B4F3D" w:rsidSect="004B4F3D">
          <w:type w:val="continuous"/>
          <w:pgSz w:w="11906" w:h="16838"/>
          <w:pgMar w:top="1134" w:right="851" w:bottom="851" w:left="1701" w:header="709" w:footer="709" w:gutter="0"/>
          <w:cols w:space="720"/>
        </w:sectPr>
      </w:pPr>
    </w:p>
    <w:tbl>
      <w:tblPr>
        <w:tblW w:w="15340" w:type="dxa"/>
        <w:tblInd w:w="108" w:type="dxa"/>
        <w:tblLook w:val="04A0" w:firstRow="1" w:lastRow="0" w:firstColumn="1" w:lastColumn="0" w:noHBand="0" w:noVBand="1"/>
      </w:tblPr>
      <w:tblGrid>
        <w:gridCol w:w="5840"/>
        <w:gridCol w:w="1580"/>
        <w:gridCol w:w="1580"/>
        <w:gridCol w:w="1580"/>
        <w:gridCol w:w="1580"/>
        <w:gridCol w:w="1590"/>
        <w:gridCol w:w="1590"/>
      </w:tblGrid>
      <w:tr w:rsidR="004B4F3D" w:rsidRPr="004B4F3D" w14:paraId="01B177BB" w14:textId="77777777" w:rsidTr="004B4F3D">
        <w:trPr>
          <w:trHeight w:val="315"/>
        </w:trPr>
        <w:tc>
          <w:tcPr>
            <w:tcW w:w="5840" w:type="dxa"/>
            <w:vAlign w:val="bottom"/>
            <w:hideMark/>
          </w:tcPr>
          <w:p w14:paraId="34CD7164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4883E5A4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070D9607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2F414F07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77819A2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80" w:type="dxa"/>
            <w:gridSpan w:val="2"/>
            <w:noWrap/>
            <w:vAlign w:val="bottom"/>
            <w:hideMark/>
          </w:tcPr>
          <w:p w14:paraId="4202D4F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Приложение 1</w:t>
            </w:r>
          </w:p>
        </w:tc>
      </w:tr>
      <w:tr w:rsidR="004B4F3D" w:rsidRPr="004B4F3D" w14:paraId="47A6AC90" w14:textId="77777777" w:rsidTr="004B4F3D">
        <w:trPr>
          <w:trHeight w:val="315"/>
        </w:trPr>
        <w:tc>
          <w:tcPr>
            <w:tcW w:w="5840" w:type="dxa"/>
            <w:vAlign w:val="bottom"/>
            <w:hideMark/>
          </w:tcPr>
          <w:p w14:paraId="104AEC8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25615F6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2395A0CD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3E469CA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35F4BE1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80" w:type="dxa"/>
            <w:gridSpan w:val="2"/>
            <w:noWrap/>
            <w:vAlign w:val="bottom"/>
            <w:hideMark/>
          </w:tcPr>
          <w:p w14:paraId="092E134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4F3D" w:rsidRPr="004B4F3D" w14:paraId="36B0411B" w14:textId="77777777" w:rsidTr="004B4F3D">
        <w:trPr>
          <w:trHeight w:val="315"/>
        </w:trPr>
        <w:tc>
          <w:tcPr>
            <w:tcW w:w="15340" w:type="dxa"/>
            <w:gridSpan w:val="7"/>
            <w:noWrap/>
            <w:vAlign w:val="bottom"/>
            <w:hideMark/>
          </w:tcPr>
          <w:p w14:paraId="6036F05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ПОКАЗАТЕЛИ</w:t>
            </w:r>
          </w:p>
        </w:tc>
      </w:tr>
      <w:tr w:rsidR="004B4F3D" w:rsidRPr="004B4F3D" w14:paraId="02114732" w14:textId="77777777" w:rsidTr="004B4F3D">
        <w:trPr>
          <w:trHeight w:val="315"/>
        </w:trPr>
        <w:tc>
          <w:tcPr>
            <w:tcW w:w="15340" w:type="dxa"/>
            <w:gridSpan w:val="7"/>
            <w:noWrap/>
            <w:vAlign w:val="bottom"/>
            <w:hideMark/>
          </w:tcPr>
          <w:p w14:paraId="22BE856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прогноза социально-экономического развития</w:t>
            </w:r>
          </w:p>
        </w:tc>
      </w:tr>
      <w:tr w:rsidR="004B4F3D" w:rsidRPr="004B4F3D" w14:paraId="4AD11059" w14:textId="77777777" w:rsidTr="004B4F3D">
        <w:trPr>
          <w:trHeight w:val="315"/>
        </w:trPr>
        <w:tc>
          <w:tcPr>
            <w:tcW w:w="15340" w:type="dxa"/>
            <w:gridSpan w:val="7"/>
            <w:noWrap/>
            <w:vAlign w:val="bottom"/>
            <w:hideMark/>
          </w:tcPr>
          <w:p w14:paraId="6BE4FD2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Гатчинского муниципального округа на долгосрочный период</w:t>
            </w:r>
          </w:p>
        </w:tc>
      </w:tr>
      <w:tr w:rsidR="004B4F3D" w:rsidRPr="004B4F3D" w14:paraId="2BCA077A" w14:textId="77777777" w:rsidTr="004B4F3D">
        <w:trPr>
          <w:trHeight w:val="315"/>
        </w:trPr>
        <w:tc>
          <w:tcPr>
            <w:tcW w:w="5840" w:type="dxa"/>
            <w:vAlign w:val="bottom"/>
            <w:hideMark/>
          </w:tcPr>
          <w:p w14:paraId="516CF9E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5CBAF48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0B436C9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34AA4B6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041C7BA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90" w:type="dxa"/>
            <w:noWrap/>
            <w:vAlign w:val="bottom"/>
            <w:hideMark/>
          </w:tcPr>
          <w:p w14:paraId="53BF799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90" w:type="dxa"/>
            <w:noWrap/>
            <w:vAlign w:val="bottom"/>
            <w:hideMark/>
          </w:tcPr>
          <w:p w14:paraId="73A8BF9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4F3D" w:rsidRPr="004B4F3D" w14:paraId="2883090A" w14:textId="77777777" w:rsidTr="004B4F3D">
        <w:trPr>
          <w:trHeight w:val="315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D991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Показатель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723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2025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EC5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2026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BA8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2027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819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2028 год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7E2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2029 год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70C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2030 год</w:t>
            </w:r>
          </w:p>
        </w:tc>
      </w:tr>
      <w:tr w:rsidR="004B4F3D" w:rsidRPr="004B4F3D" w14:paraId="60654829" w14:textId="77777777" w:rsidTr="004B4F3D">
        <w:trPr>
          <w:trHeight w:val="31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857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 Численность населения (на 1 января года), </w:t>
            </w:r>
            <w:proofErr w:type="spellStart"/>
            <w:proofErr w:type="gramStart"/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тыс.человек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244D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260,998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7276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260,795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F383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260,909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D616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261,337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DFC04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261,598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F267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261,860</w:t>
            </w:r>
          </w:p>
        </w:tc>
      </w:tr>
      <w:tr w:rsidR="004B4F3D" w:rsidRPr="004B4F3D" w14:paraId="6AE3339C" w14:textId="77777777" w:rsidTr="004B4F3D">
        <w:trPr>
          <w:trHeight w:val="31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38B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2ACED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1083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60E04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45A9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5047D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A05F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4F3D" w:rsidRPr="004B4F3D" w14:paraId="06FFCE03" w14:textId="77777777" w:rsidTr="004B4F3D">
        <w:trPr>
          <w:trHeight w:val="31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DD1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младше трудоспособного возраста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160B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32,691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94B5D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31,615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D0FA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30,484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EE7A4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29,479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9543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28,462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0D9C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27,443</w:t>
            </w:r>
          </w:p>
        </w:tc>
      </w:tr>
      <w:tr w:rsidR="004B4F3D" w:rsidRPr="004B4F3D" w14:paraId="1E14561F" w14:textId="77777777" w:rsidTr="004B4F3D">
        <w:trPr>
          <w:trHeight w:val="31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025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трудоспособном возрасте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96E6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155,432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C14D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156,857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0923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155,348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55F3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156,593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336D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157,796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AEEB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159,001</w:t>
            </w:r>
          </w:p>
        </w:tc>
      </w:tr>
      <w:tr w:rsidR="004B4F3D" w:rsidRPr="004B4F3D" w14:paraId="6F8416C2" w14:textId="77777777" w:rsidTr="004B4F3D">
        <w:trPr>
          <w:trHeight w:val="31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97DD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старше трудоспособного возраста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6C064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72,875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FA4A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72,323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B885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75,077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A088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75,265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6399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75,340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B930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75,416</w:t>
            </w:r>
          </w:p>
        </w:tc>
      </w:tr>
      <w:tr w:rsidR="004B4F3D" w:rsidRPr="004B4F3D" w14:paraId="1498F4E5" w14:textId="77777777" w:rsidTr="004B4F3D">
        <w:trPr>
          <w:trHeight w:val="78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F88D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 Отгружено товаров собственного производства, выполнено работ и услуг собственными силами (без субъектов малого предпринимательства, в промышленном производстве), </w:t>
            </w:r>
            <w:proofErr w:type="spellStart"/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млн.руб</w:t>
            </w:r>
            <w:proofErr w:type="spellEnd"/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11E9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138 926,9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FCA9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155 219,0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B079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174 210,0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F5A24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196,350,0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1DD9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222 250,0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EB16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252 700,0</w:t>
            </w:r>
          </w:p>
        </w:tc>
      </w:tr>
      <w:tr w:rsidR="004B4F3D" w:rsidRPr="004B4F3D" w14:paraId="0E0CAE98" w14:textId="77777777" w:rsidTr="004B4F3D">
        <w:trPr>
          <w:trHeight w:val="31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B04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3. Объем инвестиций в основной капитал, </w:t>
            </w:r>
            <w:proofErr w:type="spellStart"/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млн.руб</w:t>
            </w:r>
            <w:proofErr w:type="spellEnd"/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3AC9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22 674,7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16AF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24 942,2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213A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27 436,4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79EF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30 180,0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957C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33 198,0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900B4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36 518,0</w:t>
            </w:r>
          </w:p>
        </w:tc>
      </w:tr>
      <w:tr w:rsidR="004B4F3D" w:rsidRPr="004B4F3D" w14:paraId="280648C3" w14:textId="77777777" w:rsidTr="004B4F3D">
        <w:trPr>
          <w:trHeight w:val="315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AF5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4. Численность занятых в экономике (среднегодовая), </w:t>
            </w:r>
            <w:proofErr w:type="spellStart"/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тыс.чел</w:t>
            </w:r>
            <w:proofErr w:type="spellEnd"/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DB0A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126,776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F409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128,043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E1B8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129,324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1E94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130,617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DF75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131,923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7B70D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133,242</w:t>
            </w:r>
          </w:p>
        </w:tc>
      </w:tr>
      <w:tr w:rsidR="004B4F3D" w:rsidRPr="004B4F3D" w14:paraId="2ED05CD9" w14:textId="77777777" w:rsidTr="004B4F3D">
        <w:trPr>
          <w:trHeight w:val="51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2EE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 Среднемесячная номинальная начисленная заработная плата (в целом по муниципальному образованию), руб.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AB2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88 000,0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24A7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96 800,0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D212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106 480,0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23E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117 128,0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3E7B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128 840,0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D94C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141 725,0</w:t>
            </w:r>
          </w:p>
        </w:tc>
      </w:tr>
      <w:tr w:rsidR="004B4F3D" w:rsidRPr="004B4F3D" w14:paraId="1838B353" w14:textId="77777777" w:rsidTr="004B4F3D">
        <w:trPr>
          <w:trHeight w:val="6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B52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 Среднесписочная численность работников организаций (без внешних совместителей), чел.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0FF4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47 080,0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DF34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47 315,4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BA6E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47 552,0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F45F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47 790,0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B7D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48 030,0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9C71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48 270,0</w:t>
            </w:r>
          </w:p>
        </w:tc>
      </w:tr>
      <w:tr w:rsidR="004B4F3D" w:rsidRPr="004B4F3D" w14:paraId="0F03CC1C" w14:textId="77777777" w:rsidTr="004B4F3D">
        <w:trPr>
          <w:trHeight w:val="6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406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 Уровень зарегистрированной безработицы (на конец года), 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8AE87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C407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203C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6B38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1B5D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96EFD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0,040</w:t>
            </w:r>
          </w:p>
        </w:tc>
      </w:tr>
    </w:tbl>
    <w:p w14:paraId="1FBA0CBD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ectPr w:rsidR="004B4F3D" w:rsidRPr="004B4F3D">
          <w:pgSz w:w="16838" w:h="11906" w:orient="landscape"/>
          <w:pgMar w:top="1701" w:right="1134" w:bottom="851" w:left="851" w:header="709" w:footer="709" w:gutter="0"/>
          <w:cols w:space="720"/>
        </w:sectPr>
      </w:pPr>
    </w:p>
    <w:tbl>
      <w:tblPr>
        <w:tblW w:w="14220" w:type="dxa"/>
        <w:tblInd w:w="108" w:type="dxa"/>
        <w:tblLook w:val="04A0" w:firstRow="1" w:lastRow="0" w:firstColumn="1" w:lastColumn="0" w:noHBand="0" w:noVBand="1"/>
      </w:tblPr>
      <w:tblGrid>
        <w:gridCol w:w="2964"/>
        <w:gridCol w:w="1876"/>
        <w:gridCol w:w="1876"/>
        <w:gridCol w:w="1876"/>
        <w:gridCol w:w="1876"/>
        <w:gridCol w:w="1876"/>
        <w:gridCol w:w="1876"/>
      </w:tblGrid>
      <w:tr w:rsidR="004B4F3D" w:rsidRPr="004B4F3D" w14:paraId="28C482B8" w14:textId="77777777" w:rsidTr="004B4F3D">
        <w:trPr>
          <w:trHeight w:val="315"/>
        </w:trPr>
        <w:tc>
          <w:tcPr>
            <w:tcW w:w="4720" w:type="dxa"/>
            <w:vAlign w:val="bottom"/>
            <w:hideMark/>
          </w:tcPr>
          <w:p w14:paraId="3F877BD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4BA69E07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520951D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4A95F3D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75B811D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80" w:type="dxa"/>
            <w:gridSpan w:val="2"/>
            <w:noWrap/>
            <w:vAlign w:val="bottom"/>
            <w:hideMark/>
          </w:tcPr>
          <w:p w14:paraId="3191285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Приложение 2</w:t>
            </w:r>
          </w:p>
        </w:tc>
      </w:tr>
      <w:tr w:rsidR="004B4F3D" w:rsidRPr="004B4F3D" w14:paraId="651A2099" w14:textId="77777777" w:rsidTr="004B4F3D">
        <w:trPr>
          <w:trHeight w:val="315"/>
        </w:trPr>
        <w:tc>
          <w:tcPr>
            <w:tcW w:w="4720" w:type="dxa"/>
            <w:vAlign w:val="bottom"/>
            <w:hideMark/>
          </w:tcPr>
          <w:p w14:paraId="15D797C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0AE652F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410A4F0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4386DCA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27CC6224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80" w:type="dxa"/>
            <w:gridSpan w:val="2"/>
            <w:noWrap/>
            <w:vAlign w:val="bottom"/>
            <w:hideMark/>
          </w:tcPr>
          <w:p w14:paraId="66DDC6A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4F3D" w:rsidRPr="004B4F3D" w14:paraId="4916E36C" w14:textId="77777777" w:rsidTr="004B4F3D">
        <w:trPr>
          <w:trHeight w:val="315"/>
        </w:trPr>
        <w:tc>
          <w:tcPr>
            <w:tcW w:w="4720" w:type="dxa"/>
            <w:vAlign w:val="bottom"/>
            <w:hideMark/>
          </w:tcPr>
          <w:p w14:paraId="36616F1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52EE9EB7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274BAD8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1D4C956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1E0C018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90" w:type="dxa"/>
            <w:noWrap/>
            <w:vAlign w:val="bottom"/>
            <w:hideMark/>
          </w:tcPr>
          <w:p w14:paraId="4DA2AC7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90" w:type="dxa"/>
            <w:noWrap/>
            <w:vAlign w:val="bottom"/>
            <w:hideMark/>
          </w:tcPr>
          <w:p w14:paraId="74BE718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4F3D" w:rsidRPr="004B4F3D" w14:paraId="69532CA4" w14:textId="77777777" w:rsidTr="004B4F3D">
        <w:trPr>
          <w:trHeight w:val="315"/>
        </w:trPr>
        <w:tc>
          <w:tcPr>
            <w:tcW w:w="14220" w:type="dxa"/>
            <w:gridSpan w:val="7"/>
            <w:noWrap/>
            <w:vAlign w:val="bottom"/>
            <w:hideMark/>
          </w:tcPr>
          <w:p w14:paraId="0E1F7EE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ПРОГНОЗ ОСНОВНЫХ ПАРАМЕТРОВ</w:t>
            </w:r>
          </w:p>
        </w:tc>
      </w:tr>
      <w:tr w:rsidR="004B4F3D" w:rsidRPr="004B4F3D" w14:paraId="77BD90B9" w14:textId="77777777" w:rsidTr="004B4F3D">
        <w:trPr>
          <w:trHeight w:val="315"/>
        </w:trPr>
        <w:tc>
          <w:tcPr>
            <w:tcW w:w="14220" w:type="dxa"/>
            <w:gridSpan w:val="7"/>
            <w:noWrap/>
            <w:vAlign w:val="bottom"/>
            <w:hideMark/>
          </w:tcPr>
          <w:p w14:paraId="36E4848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бюджета Гатчинского муниципального округа (</w:t>
            </w:r>
            <w:proofErr w:type="spellStart"/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тыс.руб</w:t>
            </w:r>
            <w:proofErr w:type="spellEnd"/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.)</w:t>
            </w:r>
          </w:p>
        </w:tc>
      </w:tr>
      <w:tr w:rsidR="004B4F3D" w:rsidRPr="004B4F3D" w14:paraId="423BE8EA" w14:textId="77777777" w:rsidTr="004B4F3D">
        <w:trPr>
          <w:trHeight w:val="315"/>
        </w:trPr>
        <w:tc>
          <w:tcPr>
            <w:tcW w:w="4720" w:type="dxa"/>
            <w:vAlign w:val="bottom"/>
            <w:hideMark/>
          </w:tcPr>
          <w:p w14:paraId="3E660D4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6C194C2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218BD78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0CD7273D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35090B8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90" w:type="dxa"/>
            <w:noWrap/>
            <w:vAlign w:val="bottom"/>
            <w:hideMark/>
          </w:tcPr>
          <w:p w14:paraId="370D097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90" w:type="dxa"/>
            <w:noWrap/>
            <w:vAlign w:val="bottom"/>
            <w:hideMark/>
          </w:tcPr>
          <w:p w14:paraId="0A322ED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4F3D" w:rsidRPr="004B4F3D" w14:paraId="3724AAAA" w14:textId="77777777" w:rsidTr="004B4F3D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327B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Показатель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33C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2025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0C8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2026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13A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2027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C6E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2028 год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72D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2029 год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786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2030 год</w:t>
            </w:r>
          </w:p>
        </w:tc>
      </w:tr>
      <w:tr w:rsidR="004B4F3D" w:rsidRPr="004B4F3D" w14:paraId="4A19AC7E" w14:textId="77777777" w:rsidTr="004B4F3D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4171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DDA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18 419 912,7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BCD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18 990 284,2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73A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19 517 483,8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52FD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21 084 000,0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89C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22 802 000,0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7747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24 684 000,0</w:t>
            </w:r>
          </w:p>
        </w:tc>
      </w:tr>
      <w:tr w:rsidR="004B4F3D" w:rsidRPr="004B4F3D" w14:paraId="1F892736" w14:textId="77777777" w:rsidTr="004B4F3D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B457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Налоговые доходы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1BC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9 944 000,0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7A5E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11 013 000,0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EF2D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12 274 000,0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8424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13 600 000,0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170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15 070 000,0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E32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16 700 000,0</w:t>
            </w:r>
          </w:p>
        </w:tc>
      </w:tr>
      <w:tr w:rsidR="004B4F3D" w:rsidRPr="004B4F3D" w14:paraId="7D49F670" w14:textId="77777777" w:rsidTr="004B4F3D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2068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Неналоговые доходы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4C1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1 156 000,0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13D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1 187 000,0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465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1 226 000,0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87F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1 267 000,0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DF5F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1 310 000,0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C9C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1 350 000,0</w:t>
            </w:r>
          </w:p>
        </w:tc>
      </w:tr>
      <w:tr w:rsidR="004B4F3D" w:rsidRPr="004B4F3D" w14:paraId="1C68EDF5" w14:textId="77777777" w:rsidTr="004B4F3D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01F6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Безвозмездные поступления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578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7 319 912,7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ECB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6 790 284,2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33A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6 017 483,8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FA2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6 217 000,0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1AC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6 422 000,0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47F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6 634 000,0</w:t>
            </w:r>
          </w:p>
        </w:tc>
      </w:tr>
      <w:tr w:rsidR="004B4F3D" w:rsidRPr="004B4F3D" w14:paraId="67485261" w14:textId="77777777" w:rsidTr="004B4F3D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D82F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Расходы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B84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19 344 912,7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B237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19 790 284,2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BF0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20 217 483,8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0BC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21 734 000,0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76E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23 427 000,0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5D1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25 284 000,0</w:t>
            </w:r>
          </w:p>
        </w:tc>
      </w:tr>
      <w:tr w:rsidR="004B4F3D" w:rsidRPr="004B4F3D" w14:paraId="66571A3D" w14:textId="77777777" w:rsidTr="004B4F3D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D411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A76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47 610,0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266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A632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C78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28B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D84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100 000,0</w:t>
            </w:r>
          </w:p>
        </w:tc>
      </w:tr>
      <w:tr w:rsidR="004B4F3D" w:rsidRPr="004B4F3D" w14:paraId="3BF7730C" w14:textId="77777777" w:rsidTr="004B4F3D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6943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Дефицит / профицит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E33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-925 000,0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461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-800 000,0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BD8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-700 000,0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15E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-650 000,0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E0F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-625 000,0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4297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-600 000,0</w:t>
            </w:r>
          </w:p>
        </w:tc>
      </w:tr>
    </w:tbl>
    <w:p w14:paraId="5C22B51F" w14:textId="77777777" w:rsid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C9406B2" w14:textId="77777777" w:rsidR="004B4F3D" w:rsidRDefault="004B4F3D" w:rsidP="004B4F3D">
      <w:pP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1C547E25" w14:textId="77777777" w:rsidR="004B4F3D" w:rsidRDefault="004B4F3D" w:rsidP="004B4F3D">
      <w:pPr>
        <w:tabs>
          <w:tab w:val="left" w:pos="1590"/>
        </w:tabs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sectPr w:rsidR="004B4F3D">
          <w:pgSz w:w="16838" w:h="11906" w:orient="landscape"/>
          <w:pgMar w:top="1701" w:right="1134" w:bottom="851" w:left="851" w:header="709" w:footer="709" w:gutter="0"/>
          <w:cols w:space="720"/>
        </w:sect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ab/>
      </w:r>
    </w:p>
    <w:tbl>
      <w:tblPr>
        <w:tblW w:w="14317" w:type="dxa"/>
        <w:tblInd w:w="392" w:type="dxa"/>
        <w:tblLook w:val="04A0" w:firstRow="1" w:lastRow="0" w:firstColumn="1" w:lastColumn="0" w:noHBand="0" w:noVBand="1"/>
      </w:tblPr>
      <w:tblGrid>
        <w:gridCol w:w="3869"/>
        <w:gridCol w:w="1876"/>
        <w:gridCol w:w="1876"/>
        <w:gridCol w:w="1876"/>
        <w:gridCol w:w="1559"/>
        <w:gridCol w:w="1701"/>
        <w:gridCol w:w="1560"/>
      </w:tblGrid>
      <w:tr w:rsidR="004B4F3D" w:rsidRPr="004B4F3D" w14:paraId="770798F7" w14:textId="77777777" w:rsidTr="004B4F3D">
        <w:trPr>
          <w:trHeight w:val="315"/>
        </w:trPr>
        <w:tc>
          <w:tcPr>
            <w:tcW w:w="3869" w:type="dxa"/>
            <w:vAlign w:val="bottom"/>
            <w:hideMark/>
          </w:tcPr>
          <w:p w14:paraId="2D077D0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76" w:type="dxa"/>
            <w:noWrap/>
            <w:vAlign w:val="bottom"/>
            <w:hideMark/>
          </w:tcPr>
          <w:p w14:paraId="1354AE9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76" w:type="dxa"/>
            <w:noWrap/>
            <w:vAlign w:val="bottom"/>
            <w:hideMark/>
          </w:tcPr>
          <w:p w14:paraId="32BBAFE7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76" w:type="dxa"/>
            <w:noWrap/>
            <w:vAlign w:val="bottom"/>
            <w:hideMark/>
          </w:tcPr>
          <w:p w14:paraId="6557F5D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A7F8A3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1" w:type="dxa"/>
            <w:gridSpan w:val="2"/>
            <w:noWrap/>
            <w:vAlign w:val="bottom"/>
            <w:hideMark/>
          </w:tcPr>
          <w:p w14:paraId="09E6D1B4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Приложение 3</w:t>
            </w:r>
          </w:p>
        </w:tc>
      </w:tr>
      <w:tr w:rsidR="004B4F3D" w:rsidRPr="004B4F3D" w14:paraId="5EBA4BA4" w14:textId="77777777" w:rsidTr="004B4F3D">
        <w:trPr>
          <w:trHeight w:val="315"/>
        </w:trPr>
        <w:tc>
          <w:tcPr>
            <w:tcW w:w="14317" w:type="dxa"/>
            <w:gridSpan w:val="7"/>
            <w:noWrap/>
            <w:vAlign w:val="bottom"/>
            <w:hideMark/>
          </w:tcPr>
          <w:p w14:paraId="79842CD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ПОКАЗАТЕЛИ</w:t>
            </w:r>
          </w:p>
        </w:tc>
      </w:tr>
      <w:tr w:rsidR="004B4F3D" w:rsidRPr="004B4F3D" w14:paraId="6436DA2A" w14:textId="77777777" w:rsidTr="004B4F3D">
        <w:trPr>
          <w:trHeight w:val="315"/>
        </w:trPr>
        <w:tc>
          <w:tcPr>
            <w:tcW w:w="14317" w:type="dxa"/>
            <w:gridSpan w:val="7"/>
            <w:noWrap/>
            <w:vAlign w:val="bottom"/>
            <w:hideMark/>
          </w:tcPr>
          <w:p w14:paraId="2BF4AA5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финансового обеспечения муниципальных программ</w:t>
            </w:r>
          </w:p>
        </w:tc>
      </w:tr>
      <w:tr w:rsidR="004B4F3D" w:rsidRPr="004B4F3D" w14:paraId="1C806C04" w14:textId="77777777" w:rsidTr="004B4F3D">
        <w:trPr>
          <w:trHeight w:val="315"/>
        </w:trPr>
        <w:tc>
          <w:tcPr>
            <w:tcW w:w="14317" w:type="dxa"/>
            <w:gridSpan w:val="7"/>
            <w:noWrap/>
            <w:vAlign w:val="bottom"/>
            <w:hideMark/>
          </w:tcPr>
          <w:p w14:paraId="275C56F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Гатчинского муниципального округа (</w:t>
            </w:r>
            <w:proofErr w:type="spellStart"/>
            <w:r w:rsidRPr="004B4F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тыс.руб</w:t>
            </w:r>
            <w:proofErr w:type="spellEnd"/>
            <w:r w:rsidRPr="004B4F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.)</w:t>
            </w:r>
          </w:p>
        </w:tc>
      </w:tr>
      <w:tr w:rsidR="004B4F3D" w:rsidRPr="004B4F3D" w14:paraId="14071AEF" w14:textId="77777777" w:rsidTr="004B4F3D">
        <w:trPr>
          <w:trHeight w:val="247"/>
        </w:trPr>
        <w:tc>
          <w:tcPr>
            <w:tcW w:w="3869" w:type="dxa"/>
            <w:vAlign w:val="bottom"/>
            <w:hideMark/>
          </w:tcPr>
          <w:p w14:paraId="05BC90B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76" w:type="dxa"/>
            <w:noWrap/>
            <w:vAlign w:val="bottom"/>
            <w:hideMark/>
          </w:tcPr>
          <w:p w14:paraId="2E08D6A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76" w:type="dxa"/>
            <w:noWrap/>
            <w:vAlign w:val="bottom"/>
            <w:hideMark/>
          </w:tcPr>
          <w:p w14:paraId="2420CA5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76" w:type="dxa"/>
            <w:noWrap/>
            <w:vAlign w:val="bottom"/>
            <w:hideMark/>
          </w:tcPr>
          <w:p w14:paraId="19006D57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06F596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AC4AF9D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3691D78D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4F3D" w:rsidRPr="004B4F3D" w14:paraId="5D100328" w14:textId="77777777" w:rsidTr="004B4F3D">
        <w:trPr>
          <w:trHeight w:val="31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10D1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Показатель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925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2025 год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873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2026 год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307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F284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9A4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2029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837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2030 год</w:t>
            </w:r>
          </w:p>
        </w:tc>
      </w:tr>
      <w:tr w:rsidR="004B4F3D" w:rsidRPr="004B4F3D" w14:paraId="48A584FC" w14:textId="77777777" w:rsidTr="004B4F3D">
        <w:trPr>
          <w:trHeight w:val="31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605B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Расходы, всего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7AA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19 851 542,3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E4E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20 065 326,0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7CE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20 653 916,3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A85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21 734 000,0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F5D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23 427 000,0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315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25 284 000,0</w:t>
            </w:r>
          </w:p>
        </w:tc>
      </w:tr>
      <w:tr w:rsidR="004B4F3D" w:rsidRPr="004B4F3D" w14:paraId="2957F64E" w14:textId="77777777" w:rsidTr="004B4F3D">
        <w:trPr>
          <w:trHeight w:val="31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BA22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 Программные расходы, всего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37A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17 224 427,2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721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17 126 481,1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97F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17 561 312,2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482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18 526 670,1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CCB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20 029 830,7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CD8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21 668 545,5</w:t>
            </w:r>
          </w:p>
        </w:tc>
      </w:tr>
      <w:tr w:rsidR="004B4F3D" w:rsidRPr="004B4F3D" w14:paraId="402F2871" w14:textId="77777777" w:rsidTr="004B4F3D">
        <w:trPr>
          <w:trHeight w:val="31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0CE67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Удельный вес (%)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048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86,8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C6D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85,4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26B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8F8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85,2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0AE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85,5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EF6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85,7</w:t>
            </w:r>
          </w:p>
        </w:tc>
      </w:tr>
      <w:tr w:rsidR="004B4F3D" w:rsidRPr="004B4F3D" w14:paraId="33D935DB" w14:textId="77777777" w:rsidTr="004B4F3D">
        <w:trPr>
          <w:trHeight w:val="31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F467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1.1. Современное образование в Гатчинском муниципальном округе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7E7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8 381 212,7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E52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8 341 463,4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43D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8 417 839,4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6E4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8 858 045,1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AE5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9 548 054,7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C05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10 304 905,3</w:t>
            </w:r>
          </w:p>
        </w:tc>
      </w:tr>
      <w:tr w:rsidR="004B4F3D" w:rsidRPr="004B4F3D" w14:paraId="68E5C039" w14:textId="77777777" w:rsidTr="004B4F3D">
        <w:trPr>
          <w:trHeight w:val="31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3E16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1.2. Развитие транспортной системы Гатчинского муниципального округа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49B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2 436 834,3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A90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2 425 962,8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7BC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2 456 190,6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ACB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2 631 635,6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4C2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2 896 630,5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A78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3 177 239,1</w:t>
            </w:r>
          </w:p>
        </w:tc>
      </w:tr>
      <w:tr w:rsidR="004B4F3D" w:rsidRPr="004B4F3D" w14:paraId="79C7AB91" w14:textId="77777777" w:rsidTr="004B4F3D">
        <w:trPr>
          <w:trHeight w:val="31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C4C0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1.3. Развитие физической культуры и спорта в Гатчинском муниципальном округе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BC6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674 890,1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972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700 627,1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6D3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752 459,7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D48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791 809,1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362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853 488,2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553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921 142,1</w:t>
            </w:r>
          </w:p>
        </w:tc>
      </w:tr>
      <w:tr w:rsidR="004B4F3D" w:rsidRPr="004B4F3D" w14:paraId="416163E3" w14:textId="77777777" w:rsidTr="004B4F3D">
        <w:trPr>
          <w:trHeight w:val="31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DC74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1.4. Развитие культуры в Гатчинском муниципальном округе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7E8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1 737 590,6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069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1 966 854,9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DC7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1 831 411,4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CCF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1 927 183,9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3D2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2 077 304,6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F31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2 241 967,3</w:t>
            </w:r>
          </w:p>
        </w:tc>
      </w:tr>
      <w:tr w:rsidR="004B4F3D" w:rsidRPr="004B4F3D" w14:paraId="3B07A8E1" w14:textId="77777777" w:rsidTr="004B4F3D">
        <w:trPr>
          <w:trHeight w:val="31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CDD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1.5. Обеспечение доступным жильем и жилищно-коммунальными услугами жителей Гатчинского муниципального округа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DFD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468 744,3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050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379 989,1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F50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434 402,7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F80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457 119,5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495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492 727,5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6C0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531 784,8</w:t>
            </w:r>
          </w:p>
        </w:tc>
      </w:tr>
      <w:tr w:rsidR="004B4F3D" w:rsidRPr="004B4F3D" w14:paraId="4E1AB501" w14:textId="77777777" w:rsidTr="004B4F3D">
        <w:trPr>
          <w:trHeight w:val="31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6934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1.6. Обеспечение комплексной безопасности Гатчинского муниципального округа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D1F4D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153 118,3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A74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127 903,5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8A7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161 432,1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918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169 874,1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DEE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183 106,7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3AB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197 621,1</w:t>
            </w:r>
          </w:p>
        </w:tc>
      </w:tr>
      <w:tr w:rsidR="004B4F3D" w:rsidRPr="004B4F3D" w14:paraId="39F34117" w14:textId="77777777" w:rsidTr="004B4F3D">
        <w:trPr>
          <w:trHeight w:val="31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ED37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1.7. Стимулирование экономической активности в </w:t>
            </w: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Гатчинском муниципальном округе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1A0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177 437,0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902D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168 288,1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D2E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178 781,5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EFD7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188 130,8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D19E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202 785,5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4AF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218 859,8</w:t>
            </w:r>
          </w:p>
        </w:tc>
      </w:tr>
      <w:tr w:rsidR="004B4F3D" w:rsidRPr="004B4F3D" w14:paraId="7EE398AB" w14:textId="77777777" w:rsidTr="004B4F3D">
        <w:trPr>
          <w:trHeight w:val="31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4F017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1.8. </w:t>
            </w:r>
            <w:proofErr w:type="gramStart"/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Развитие  сельского</w:t>
            </w:r>
            <w:proofErr w:type="gramEnd"/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хозяйства  в</w:t>
            </w: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Гатчинском  муниципальном округе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68E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57 947,2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9D1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57 840,2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AC4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58 475,0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145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61 532,9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059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66 326,1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CC9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71 583,6</w:t>
            </w:r>
          </w:p>
        </w:tc>
      </w:tr>
      <w:tr w:rsidR="004B4F3D" w:rsidRPr="004B4F3D" w14:paraId="4875575B" w14:textId="77777777" w:rsidTr="004B4F3D">
        <w:trPr>
          <w:trHeight w:val="31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4DF1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1.9. Обеспечение устойчивого функционирования коммунальной, инженерной инфраструктуры и повышение энергоэффективности в Гатчинском муниципальном округе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6E4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942 561,9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C72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965 934,1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C93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1 032 900,4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C0C4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1 086 915,3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DAFF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1 171 582,1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4087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1 264 450,4</w:t>
            </w:r>
          </w:p>
        </w:tc>
      </w:tr>
      <w:tr w:rsidR="004B4F3D" w:rsidRPr="004B4F3D" w14:paraId="03FF75E4" w14:textId="77777777" w:rsidTr="004B4F3D">
        <w:trPr>
          <w:trHeight w:val="31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50F8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1.10. Устойчивое общественное развитие в </w:t>
            </w: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Гатчинском муниципальном округе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B2B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219 418,5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CAB4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228 746,9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4C6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252 617,9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222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265 828,4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B76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286 535,5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2C6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309 248,4</w:t>
            </w:r>
          </w:p>
        </w:tc>
      </w:tr>
      <w:tr w:rsidR="004B4F3D" w:rsidRPr="004B4F3D" w14:paraId="40E6F2E8" w14:textId="77777777" w:rsidTr="004B4F3D">
        <w:trPr>
          <w:trHeight w:val="31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A52B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1.11. Благоустройство и охрана окружающей среды в Гатчинском муниципальном округе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1AB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1 974 672,3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79A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1 762 871,0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25E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1 984 801,5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DD0A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2 088 595,5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9A3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2 251 289,5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9BD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2 429 743,6</w:t>
            </w:r>
          </w:p>
        </w:tc>
      </w:tr>
      <w:tr w:rsidR="004B4F3D" w:rsidRPr="004B4F3D" w14:paraId="263B9AB1" w14:textId="77777777" w:rsidTr="004B4F3D">
        <w:trPr>
          <w:trHeight w:val="31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179A9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 Непрограммные расходы, всего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2EE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2 627 115,1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F39C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2 938 844,9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A18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3 092 604,1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B930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3 207 329,9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52C8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3 397 169,3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B58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3 615 454,5</w:t>
            </w:r>
          </w:p>
        </w:tc>
      </w:tr>
      <w:tr w:rsidR="004B4F3D" w:rsidRPr="004B4F3D" w14:paraId="0107D347" w14:textId="77777777" w:rsidTr="004B4F3D">
        <w:trPr>
          <w:trHeight w:val="31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A36F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Удельный вес (%)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8FB2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13,2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78D5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14,6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3CB3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7726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914B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D5B1" w14:textId="77777777" w:rsidR="004B4F3D" w:rsidRPr="004B4F3D" w:rsidRDefault="004B4F3D" w:rsidP="004B4F3D">
            <w:pPr>
              <w:pStyle w:val="1"/>
              <w:tabs>
                <w:tab w:val="left" w:pos="3792"/>
                <w:tab w:val="left" w:pos="75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4F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14,3</w:t>
            </w:r>
          </w:p>
        </w:tc>
      </w:tr>
    </w:tbl>
    <w:p w14:paraId="2440F488" w14:textId="77777777" w:rsidR="004B4F3D" w:rsidRPr="004B4F3D" w:rsidRDefault="004B4F3D" w:rsidP="004B4F3D">
      <w:pPr>
        <w:pStyle w:val="1"/>
        <w:tabs>
          <w:tab w:val="left" w:pos="3792"/>
          <w:tab w:val="left" w:pos="7550"/>
        </w:tabs>
        <w:rPr>
          <w:rFonts w:ascii="Times New Roman" w:hAnsi="Times New Roman" w:cs="Times New Roman"/>
          <w:b/>
          <w:color w:val="000000"/>
          <w:sz w:val="24"/>
          <w:szCs w:val="24"/>
          <w:lang w:val="en-US" w:eastAsia="ru-RU" w:bidi="ru-RU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C73573" w:rsidSect="004B4F3D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A626C"/>
    <w:multiLevelType w:val="hybridMultilevel"/>
    <w:tmpl w:val="0908E5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FB0695"/>
    <w:multiLevelType w:val="hybridMultilevel"/>
    <w:tmpl w:val="130627A2"/>
    <w:lvl w:ilvl="0" w:tplc="CF7411A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C8940F1"/>
    <w:multiLevelType w:val="hybridMultilevel"/>
    <w:tmpl w:val="000C1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20883"/>
    <w:multiLevelType w:val="hybridMultilevel"/>
    <w:tmpl w:val="84FAFEDE"/>
    <w:lvl w:ilvl="0" w:tplc="4BF8B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A3B0B"/>
    <w:multiLevelType w:val="hybridMultilevel"/>
    <w:tmpl w:val="679090D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A48D6"/>
    <w:multiLevelType w:val="hybridMultilevel"/>
    <w:tmpl w:val="DFAE8FE8"/>
    <w:lvl w:ilvl="0" w:tplc="A4B8C862">
      <w:start w:val="4"/>
      <w:numFmt w:val="decimal"/>
      <w:lvlText w:val="%1."/>
      <w:lvlJc w:val="left"/>
      <w:pPr>
        <w:ind w:left="792" w:hanging="360"/>
      </w:p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>
      <w:start w:val="1"/>
      <w:numFmt w:val="lowerRoman"/>
      <w:lvlText w:val="%3."/>
      <w:lvlJc w:val="right"/>
      <w:pPr>
        <w:ind w:left="2232" w:hanging="180"/>
      </w:pPr>
    </w:lvl>
    <w:lvl w:ilvl="3" w:tplc="0419000F">
      <w:start w:val="1"/>
      <w:numFmt w:val="decimal"/>
      <w:lvlText w:val="%4."/>
      <w:lvlJc w:val="left"/>
      <w:pPr>
        <w:ind w:left="2952" w:hanging="360"/>
      </w:pPr>
    </w:lvl>
    <w:lvl w:ilvl="4" w:tplc="04190019">
      <w:start w:val="1"/>
      <w:numFmt w:val="lowerLetter"/>
      <w:lvlText w:val="%5."/>
      <w:lvlJc w:val="left"/>
      <w:pPr>
        <w:ind w:left="3672" w:hanging="360"/>
      </w:pPr>
    </w:lvl>
    <w:lvl w:ilvl="5" w:tplc="0419001B">
      <w:start w:val="1"/>
      <w:numFmt w:val="lowerRoman"/>
      <w:lvlText w:val="%6."/>
      <w:lvlJc w:val="right"/>
      <w:pPr>
        <w:ind w:left="4392" w:hanging="180"/>
      </w:pPr>
    </w:lvl>
    <w:lvl w:ilvl="6" w:tplc="0419000F">
      <w:start w:val="1"/>
      <w:numFmt w:val="decimal"/>
      <w:lvlText w:val="%7."/>
      <w:lvlJc w:val="left"/>
      <w:pPr>
        <w:ind w:left="5112" w:hanging="360"/>
      </w:pPr>
    </w:lvl>
    <w:lvl w:ilvl="7" w:tplc="04190019">
      <w:start w:val="1"/>
      <w:numFmt w:val="lowerLetter"/>
      <w:lvlText w:val="%8."/>
      <w:lvlJc w:val="left"/>
      <w:pPr>
        <w:ind w:left="5832" w:hanging="360"/>
      </w:pPr>
    </w:lvl>
    <w:lvl w:ilvl="8" w:tplc="0419001B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76CF34B6"/>
    <w:multiLevelType w:val="hybridMultilevel"/>
    <w:tmpl w:val="D0061364"/>
    <w:lvl w:ilvl="0" w:tplc="D92E3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03656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7913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2964143">
    <w:abstractNumId w:val="0"/>
  </w:num>
  <w:num w:numId="4" w16cid:durableId="102913935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6548480">
    <w:abstractNumId w:val="1"/>
  </w:num>
  <w:num w:numId="6" w16cid:durableId="683753614">
    <w:abstractNumId w:val="6"/>
  </w:num>
  <w:num w:numId="7" w16cid:durableId="103449788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B4F3D"/>
    <w:rsid w:val="00666DB9"/>
    <w:rsid w:val="00736421"/>
    <w:rsid w:val="00791485"/>
    <w:rsid w:val="00883CA0"/>
    <w:rsid w:val="0096086D"/>
    <w:rsid w:val="0098363E"/>
    <w:rsid w:val="00AD093D"/>
    <w:rsid w:val="00AF2A6C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3188</Words>
  <Characters>18173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2025-02-26T14:24:00Z</dcterms:created>
  <dcterms:modified xsi:type="dcterms:W3CDTF">2025-02-26T14:24:00Z</dcterms:modified>
</cp:coreProperties>
</file>